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3BF" w:rsidRPr="00FF4031" w:rsidRDefault="00BA43BF" w:rsidP="00FF4031">
      <w:pPr>
        <w:spacing w:after="0" w:line="240" w:lineRule="auto"/>
        <w:jc w:val="center"/>
        <w:rPr>
          <w:b/>
          <w:sz w:val="28"/>
          <w:szCs w:val="28"/>
        </w:rPr>
      </w:pPr>
      <w:bookmarkStart w:id="0" w:name="_GoBack"/>
      <w:bookmarkEnd w:id="0"/>
      <w:r w:rsidRPr="00FF4031">
        <w:rPr>
          <w:b/>
          <w:sz w:val="28"/>
          <w:szCs w:val="28"/>
        </w:rPr>
        <w:t>Frequently Asked Questions</w:t>
      </w:r>
    </w:p>
    <w:p w:rsidR="00BA43BF" w:rsidRPr="00FF4031" w:rsidRDefault="00BA43BF" w:rsidP="00FF4031">
      <w:pPr>
        <w:spacing w:after="0" w:line="240" w:lineRule="auto"/>
        <w:jc w:val="center"/>
        <w:rPr>
          <w:b/>
          <w:sz w:val="28"/>
          <w:szCs w:val="28"/>
        </w:rPr>
      </w:pPr>
      <w:r w:rsidRPr="00FF4031">
        <w:rPr>
          <w:b/>
          <w:sz w:val="28"/>
          <w:szCs w:val="28"/>
        </w:rPr>
        <w:t xml:space="preserve">Updated </w:t>
      </w:r>
      <w:r w:rsidR="008010B6">
        <w:rPr>
          <w:b/>
          <w:sz w:val="28"/>
          <w:szCs w:val="28"/>
        </w:rPr>
        <w:t>May 2016</w:t>
      </w:r>
    </w:p>
    <w:p w:rsidR="00FF4031" w:rsidRPr="00FF4031" w:rsidRDefault="00FF4031" w:rsidP="00FF4031"/>
    <w:p w:rsidR="00DA5E06" w:rsidRPr="00FF4031" w:rsidRDefault="005F5BBF" w:rsidP="00FF4031">
      <w:pPr>
        <w:jc w:val="center"/>
        <w:rPr>
          <w:b/>
          <w:sz w:val="28"/>
          <w:szCs w:val="28"/>
        </w:rPr>
      </w:pPr>
      <w:r w:rsidRPr="00FF4031">
        <w:rPr>
          <w:b/>
          <w:sz w:val="28"/>
          <w:szCs w:val="28"/>
        </w:rPr>
        <w:t xml:space="preserve">Expanded Criminal History </w:t>
      </w:r>
      <w:r w:rsidR="00401C15" w:rsidRPr="00FF4031">
        <w:rPr>
          <w:b/>
          <w:sz w:val="28"/>
          <w:szCs w:val="28"/>
        </w:rPr>
        <w:t xml:space="preserve">(ECH) </w:t>
      </w:r>
      <w:r w:rsidRPr="00FF4031">
        <w:rPr>
          <w:b/>
          <w:sz w:val="28"/>
          <w:szCs w:val="28"/>
        </w:rPr>
        <w:t>C</w:t>
      </w:r>
      <w:r w:rsidR="00A1055C" w:rsidRPr="00FF4031">
        <w:rPr>
          <w:b/>
          <w:sz w:val="28"/>
          <w:szCs w:val="28"/>
        </w:rPr>
        <w:t>hecks</w:t>
      </w:r>
      <w:r w:rsidR="00BA43BF" w:rsidRPr="00FF4031">
        <w:rPr>
          <w:b/>
          <w:sz w:val="28"/>
          <w:szCs w:val="28"/>
        </w:rPr>
        <w:t xml:space="preserve">, </w:t>
      </w:r>
      <w:r w:rsidR="00614CF5" w:rsidRPr="00FF4031">
        <w:rPr>
          <w:b/>
          <w:sz w:val="28"/>
          <w:szCs w:val="28"/>
        </w:rPr>
        <w:t xml:space="preserve">Expanded Child Protection Index </w:t>
      </w:r>
      <w:r w:rsidR="00401C15" w:rsidRPr="00FF4031">
        <w:rPr>
          <w:b/>
          <w:sz w:val="28"/>
          <w:szCs w:val="28"/>
        </w:rPr>
        <w:t xml:space="preserve">(ECPI) </w:t>
      </w:r>
      <w:r w:rsidR="00614CF5" w:rsidRPr="00FF4031">
        <w:rPr>
          <w:b/>
          <w:sz w:val="28"/>
          <w:szCs w:val="28"/>
        </w:rPr>
        <w:t>Checks</w:t>
      </w:r>
      <w:r w:rsidR="00FF4031" w:rsidRPr="00FF4031">
        <w:rPr>
          <w:b/>
          <w:sz w:val="28"/>
          <w:szCs w:val="28"/>
        </w:rPr>
        <w:t xml:space="preserve">, and </w:t>
      </w:r>
      <w:r w:rsidR="00BA43BF" w:rsidRPr="00FF4031">
        <w:rPr>
          <w:b/>
          <w:sz w:val="28"/>
          <w:szCs w:val="28"/>
        </w:rPr>
        <w:t>Confidentiality Agreements</w:t>
      </w:r>
    </w:p>
    <w:p w:rsidR="00B902E5" w:rsidRPr="00FF4031" w:rsidRDefault="00F91E0C" w:rsidP="00FF4031">
      <w:pPr>
        <w:numPr>
          <w:ilvl w:val="0"/>
          <w:numId w:val="14"/>
        </w:numPr>
        <w:rPr>
          <w:color w:val="365F91" w:themeColor="accent1" w:themeShade="BF"/>
        </w:rPr>
      </w:pPr>
      <w:r w:rsidRPr="00FF4031">
        <w:rPr>
          <w:b/>
        </w:rPr>
        <w:t>What school employers are required to adopt and administer a policy requiring expanded criminal history checks and expanded child protection index checks for new employees?</w:t>
      </w:r>
      <w:r w:rsidRPr="00FF4031">
        <w:t xml:space="preserve"> </w:t>
      </w:r>
      <w:r w:rsidRPr="00FF4031">
        <w:rPr>
          <w:color w:val="365F91" w:themeColor="accent1" w:themeShade="BF"/>
        </w:rPr>
        <w:t>School corporations, charter schools, non-public accredited schools and, as of July 1, 2016, nonpublic schools</w:t>
      </w:r>
      <w:r w:rsidR="00077AE6" w:rsidRPr="00FF4031">
        <w:rPr>
          <w:color w:val="365F91" w:themeColor="accent1" w:themeShade="BF"/>
        </w:rPr>
        <w:t xml:space="preserve">, regardless of accreditation status, </w:t>
      </w:r>
      <w:r w:rsidRPr="00FF4031">
        <w:rPr>
          <w:color w:val="365F91" w:themeColor="accent1" w:themeShade="BF"/>
        </w:rPr>
        <w:t xml:space="preserve">employing one (1) or more employees are included in this requirement. </w:t>
      </w:r>
    </w:p>
    <w:p w:rsidR="00632834" w:rsidRPr="00FF4031" w:rsidRDefault="00B902E5" w:rsidP="00FF4031">
      <w:pPr>
        <w:numPr>
          <w:ilvl w:val="0"/>
          <w:numId w:val="14"/>
        </w:numPr>
        <w:rPr>
          <w:color w:val="365F91" w:themeColor="accent1" w:themeShade="BF"/>
        </w:rPr>
      </w:pPr>
      <w:r w:rsidRPr="00FF4031">
        <w:rPr>
          <w:b/>
        </w:rPr>
        <w:t>When does the requirement to conduct ECPI checks become effective?</w:t>
      </w:r>
      <w:r w:rsidRPr="00FF4031">
        <w:t xml:space="preserve"> </w:t>
      </w:r>
      <w:r w:rsidRPr="00FF4031">
        <w:rPr>
          <w:color w:val="365F91" w:themeColor="accent1" w:themeShade="BF"/>
        </w:rPr>
        <w:t xml:space="preserve">This new requirement becomes effective July 1, 2016. </w:t>
      </w:r>
    </w:p>
    <w:p w:rsidR="00A1055C" w:rsidRPr="00FF4031" w:rsidRDefault="00CE1781" w:rsidP="00FF4031">
      <w:pPr>
        <w:numPr>
          <w:ilvl w:val="0"/>
          <w:numId w:val="14"/>
        </w:numPr>
        <w:rPr>
          <w:color w:val="365F91" w:themeColor="accent1" w:themeShade="BF"/>
        </w:rPr>
      </w:pPr>
      <w:r w:rsidRPr="00FF4031">
        <w:rPr>
          <w:b/>
        </w:rPr>
        <w:t>Do</w:t>
      </w:r>
      <w:r w:rsidR="00CF208C" w:rsidRPr="00FF4031">
        <w:rPr>
          <w:b/>
        </w:rPr>
        <w:t xml:space="preserve"> </w:t>
      </w:r>
      <w:r w:rsidRPr="00FF4031">
        <w:rPr>
          <w:b/>
        </w:rPr>
        <w:t xml:space="preserve">the </w:t>
      </w:r>
      <w:r w:rsidR="00CF208C" w:rsidRPr="00FF4031">
        <w:rPr>
          <w:b/>
        </w:rPr>
        <w:t xml:space="preserve">expanded criminal history (ECH) </w:t>
      </w:r>
      <w:r w:rsidR="00B22944" w:rsidRPr="00FF4031">
        <w:rPr>
          <w:b/>
        </w:rPr>
        <w:t xml:space="preserve">and expanded child protection index (ECPI) check </w:t>
      </w:r>
      <w:r w:rsidRPr="00FF4031">
        <w:rPr>
          <w:b/>
        </w:rPr>
        <w:t>requirement</w:t>
      </w:r>
      <w:r w:rsidR="00CF208C" w:rsidRPr="00FF4031">
        <w:rPr>
          <w:b/>
        </w:rPr>
        <w:t>s in IC 20-26-5-10</w:t>
      </w:r>
      <w:r w:rsidRPr="00FF4031">
        <w:rPr>
          <w:b/>
        </w:rPr>
        <w:t xml:space="preserve"> apply to all job applicants or just those who are recommended for hiring?</w:t>
      </w:r>
      <w:r w:rsidRPr="00FF4031">
        <w:t xml:space="preserve"> </w:t>
      </w:r>
      <w:r w:rsidR="00FF4031">
        <w:t xml:space="preserve"> </w:t>
      </w:r>
      <w:r w:rsidR="00404D82" w:rsidRPr="00FF4031">
        <w:rPr>
          <w:color w:val="365F91" w:themeColor="accent1" w:themeShade="BF"/>
        </w:rPr>
        <w:t xml:space="preserve">The ECH and ECPI checks must be done before or within three (3) months after employment, so only </w:t>
      </w:r>
      <w:r w:rsidR="00DA47FD" w:rsidRPr="00FF4031">
        <w:rPr>
          <w:color w:val="365F91" w:themeColor="accent1" w:themeShade="BF"/>
        </w:rPr>
        <w:t xml:space="preserve">those applicants who are </w:t>
      </w:r>
      <w:r w:rsidR="00404D82" w:rsidRPr="00FF4031">
        <w:rPr>
          <w:color w:val="365F91" w:themeColor="accent1" w:themeShade="BF"/>
        </w:rPr>
        <w:t xml:space="preserve">actually hired </w:t>
      </w:r>
      <w:r w:rsidR="00DA47FD" w:rsidRPr="00FF4031">
        <w:rPr>
          <w:color w:val="365F91" w:themeColor="accent1" w:themeShade="BF"/>
        </w:rPr>
        <w:t xml:space="preserve">need an expanded criminal history check.  </w:t>
      </w:r>
    </w:p>
    <w:p w:rsidR="00CE1781" w:rsidRPr="00FF4031" w:rsidRDefault="00CE1781" w:rsidP="00FF4031">
      <w:pPr>
        <w:numPr>
          <w:ilvl w:val="0"/>
          <w:numId w:val="14"/>
        </w:numPr>
        <w:rPr>
          <w:color w:val="365F91" w:themeColor="accent1" w:themeShade="BF"/>
        </w:rPr>
      </w:pPr>
      <w:r w:rsidRPr="00FF4031">
        <w:rPr>
          <w:b/>
        </w:rPr>
        <w:t xml:space="preserve">Does the ECH </w:t>
      </w:r>
      <w:r w:rsidR="00B22944" w:rsidRPr="00FF4031">
        <w:rPr>
          <w:b/>
        </w:rPr>
        <w:t xml:space="preserve">and ECPI </w:t>
      </w:r>
      <w:r w:rsidRPr="00FF4031">
        <w:rPr>
          <w:b/>
        </w:rPr>
        <w:t xml:space="preserve">requirement apply </w:t>
      </w:r>
      <w:r w:rsidR="00401C15" w:rsidRPr="00FF4031">
        <w:rPr>
          <w:b/>
        </w:rPr>
        <w:t xml:space="preserve">just </w:t>
      </w:r>
      <w:proofErr w:type="gramStart"/>
      <w:r w:rsidRPr="00FF4031">
        <w:rPr>
          <w:b/>
        </w:rPr>
        <w:t>to</w:t>
      </w:r>
      <w:proofErr w:type="gramEnd"/>
      <w:r w:rsidRPr="00FF4031">
        <w:rPr>
          <w:b/>
        </w:rPr>
        <w:t xml:space="preserve"> new hires or to </w:t>
      </w:r>
      <w:r w:rsidR="007C17E6" w:rsidRPr="00FF4031">
        <w:rPr>
          <w:b/>
        </w:rPr>
        <w:t xml:space="preserve">current </w:t>
      </w:r>
      <w:r w:rsidRPr="00FF4031">
        <w:rPr>
          <w:b/>
        </w:rPr>
        <w:t>employees?</w:t>
      </w:r>
      <w:r w:rsidRPr="00FF4031">
        <w:t xml:space="preserve"> </w:t>
      </w:r>
      <w:r w:rsidR="00DA47FD" w:rsidRPr="00FF4031">
        <w:t xml:space="preserve"> </w:t>
      </w:r>
      <w:r w:rsidR="00962F16" w:rsidRPr="00FF4031">
        <w:rPr>
          <w:color w:val="365F91" w:themeColor="accent1" w:themeShade="BF"/>
        </w:rPr>
        <w:t xml:space="preserve">Governing bodies must have in place a policy that requires </w:t>
      </w:r>
      <w:r w:rsidR="00B22944" w:rsidRPr="00FF4031">
        <w:rPr>
          <w:color w:val="365F91" w:themeColor="accent1" w:themeShade="BF"/>
        </w:rPr>
        <w:t xml:space="preserve">both </w:t>
      </w:r>
      <w:r w:rsidR="00962F16" w:rsidRPr="00FF4031">
        <w:rPr>
          <w:color w:val="365F91" w:themeColor="accent1" w:themeShade="BF"/>
        </w:rPr>
        <w:t>e</w:t>
      </w:r>
      <w:r w:rsidR="00B22944" w:rsidRPr="00FF4031">
        <w:rPr>
          <w:color w:val="365F91" w:themeColor="accent1" w:themeShade="BF"/>
        </w:rPr>
        <w:t xml:space="preserve">xpanded criminal history and expanded child protection index checks </w:t>
      </w:r>
      <w:r w:rsidR="00962F16" w:rsidRPr="00FF4031">
        <w:rPr>
          <w:color w:val="365F91" w:themeColor="accent1" w:themeShade="BF"/>
        </w:rPr>
        <w:t xml:space="preserve">for new hires </w:t>
      </w:r>
      <w:r w:rsidR="009A175F">
        <w:rPr>
          <w:color w:val="365F91" w:themeColor="accent1" w:themeShade="BF"/>
        </w:rPr>
        <w:t>beginning</w:t>
      </w:r>
      <w:r w:rsidR="00DA47FD" w:rsidRPr="00FF4031">
        <w:rPr>
          <w:color w:val="365F91" w:themeColor="accent1" w:themeShade="BF"/>
        </w:rPr>
        <w:t xml:space="preserve"> July 1, </w:t>
      </w:r>
      <w:r w:rsidR="00B22944" w:rsidRPr="00FF4031">
        <w:rPr>
          <w:color w:val="365F91" w:themeColor="accent1" w:themeShade="BF"/>
        </w:rPr>
        <w:t>2016</w:t>
      </w:r>
      <w:r w:rsidR="009A175F">
        <w:rPr>
          <w:color w:val="365F91" w:themeColor="accent1" w:themeShade="BF"/>
        </w:rPr>
        <w:t>.</w:t>
      </w:r>
      <w:r w:rsidR="00962F16" w:rsidRPr="00FF4031">
        <w:rPr>
          <w:color w:val="365F91" w:themeColor="accent1" w:themeShade="BF"/>
        </w:rPr>
        <w:t xml:space="preserve"> </w:t>
      </w:r>
    </w:p>
    <w:p w:rsidR="00787226" w:rsidRPr="00FF4031" w:rsidRDefault="00787226" w:rsidP="00FF4031">
      <w:pPr>
        <w:numPr>
          <w:ilvl w:val="0"/>
          <w:numId w:val="14"/>
        </w:numPr>
        <w:rPr>
          <w:color w:val="365F91" w:themeColor="accent1" w:themeShade="BF"/>
        </w:rPr>
      </w:pPr>
      <w:r w:rsidRPr="00FF4031">
        <w:rPr>
          <w:b/>
        </w:rPr>
        <w:t xml:space="preserve">What are the elements of an “Expanded Child Protection Index Check”? </w:t>
      </w:r>
      <w:r w:rsidRPr="00FF4031">
        <w:rPr>
          <w:color w:val="365F91" w:themeColor="accent1" w:themeShade="BF"/>
        </w:rPr>
        <w:t xml:space="preserve">The definition of an expanded child protection index check is defined at IC 20-26-2-1.3, which is included below:  </w:t>
      </w:r>
    </w:p>
    <w:p w:rsidR="00787226" w:rsidRPr="00FF4031" w:rsidRDefault="00787226" w:rsidP="009627A2">
      <w:pPr>
        <w:spacing w:after="0"/>
        <w:ind w:left="1440"/>
        <w:rPr>
          <w:color w:val="365F91" w:themeColor="accent1" w:themeShade="BF"/>
        </w:rPr>
      </w:pPr>
      <w:proofErr w:type="gramStart"/>
      <w:r w:rsidRPr="00FF4031">
        <w:rPr>
          <w:color w:val="365F91" w:themeColor="accent1" w:themeShade="BF"/>
        </w:rPr>
        <w:t>Sec. 1.3.</w:t>
      </w:r>
      <w:proofErr w:type="gramEnd"/>
      <w:r w:rsidRPr="00FF4031">
        <w:rPr>
          <w:color w:val="365F91" w:themeColor="accent1" w:themeShade="BF"/>
        </w:rPr>
        <w:t xml:space="preserve"> "Expanded child protection index check" means: </w:t>
      </w:r>
    </w:p>
    <w:p w:rsidR="00787226" w:rsidRPr="00FF4031" w:rsidRDefault="00787226" w:rsidP="009627A2">
      <w:pPr>
        <w:spacing w:after="0"/>
        <w:ind w:left="1440"/>
        <w:rPr>
          <w:color w:val="365F91" w:themeColor="accent1" w:themeShade="BF"/>
        </w:rPr>
      </w:pPr>
      <w:r w:rsidRPr="00FF4031">
        <w:rPr>
          <w:color w:val="365F91" w:themeColor="accent1" w:themeShade="BF"/>
        </w:rPr>
        <w:t xml:space="preserve">(1) an inquiry with the department of child services as to whether an individual has been the subject of a substantiated report of child abuse or neglect and is listed in the child protection index established under IC 31-33-26-2; </w:t>
      </w:r>
    </w:p>
    <w:p w:rsidR="00787226" w:rsidRPr="00FF4031" w:rsidRDefault="00787226" w:rsidP="009627A2">
      <w:pPr>
        <w:spacing w:after="0"/>
        <w:ind w:left="1440"/>
        <w:rPr>
          <w:color w:val="365F91" w:themeColor="accent1" w:themeShade="BF"/>
        </w:rPr>
      </w:pPr>
      <w:r w:rsidRPr="00FF4031">
        <w:rPr>
          <w:color w:val="365F91" w:themeColor="accent1" w:themeShade="BF"/>
        </w:rPr>
        <w:t xml:space="preserve">(2) an inquiry with the child welfare agency of each state in which the individual has resided since the individual became eighteen (18) years of age as to whether there are any substantiated reports that the individual has committed child abuse or neglect; and </w:t>
      </w:r>
    </w:p>
    <w:p w:rsidR="00787226" w:rsidRPr="00FF4031" w:rsidRDefault="00787226" w:rsidP="009627A2">
      <w:pPr>
        <w:spacing w:after="0"/>
        <w:ind w:left="1440"/>
        <w:rPr>
          <w:color w:val="365F91" w:themeColor="accent1" w:themeShade="BF"/>
        </w:rPr>
      </w:pPr>
      <w:r w:rsidRPr="00FF4031">
        <w:rPr>
          <w:color w:val="365F91" w:themeColor="accent1" w:themeShade="BF"/>
        </w:rPr>
        <w:t xml:space="preserve">(3) </w:t>
      </w:r>
      <w:proofErr w:type="gramStart"/>
      <w:r w:rsidRPr="00FF4031">
        <w:rPr>
          <w:color w:val="365F91" w:themeColor="accent1" w:themeShade="BF"/>
        </w:rPr>
        <w:t>for</w:t>
      </w:r>
      <w:proofErr w:type="gramEnd"/>
      <w:r w:rsidRPr="00FF4031">
        <w:rPr>
          <w:color w:val="365F91" w:themeColor="accent1" w:themeShade="BF"/>
        </w:rPr>
        <w:t xml:space="preserve"> a certificated employee, an inquiry with the department of education or other entity that may issue a license to teach of each state in which the individual has resided since the individual became eighteen (18) years of age as to whether the individual has ever had a teaching license suspended or revoked.</w:t>
      </w:r>
    </w:p>
    <w:p w:rsidR="007E181C" w:rsidRPr="00FF4031" w:rsidRDefault="007E181C" w:rsidP="00FF4031"/>
    <w:p w:rsidR="00CF208C" w:rsidRPr="00FF4031" w:rsidRDefault="00CF208C" w:rsidP="00FF4031">
      <w:pPr>
        <w:numPr>
          <w:ilvl w:val="0"/>
          <w:numId w:val="14"/>
        </w:numPr>
        <w:spacing w:after="120"/>
        <w:rPr>
          <w:color w:val="365F91" w:themeColor="accent1" w:themeShade="BF"/>
        </w:rPr>
      </w:pPr>
      <w:r w:rsidRPr="00FF4031">
        <w:rPr>
          <w:b/>
        </w:rPr>
        <w:t>What are the elements of “Ex</w:t>
      </w:r>
      <w:r w:rsidR="00FF4031" w:rsidRPr="00FF4031">
        <w:rPr>
          <w:b/>
        </w:rPr>
        <w:t>panded Criminal History Check?”</w:t>
      </w:r>
      <w:r w:rsidR="00FF4031">
        <w:t xml:space="preserve"> </w:t>
      </w:r>
      <w:r w:rsidRPr="00FF4031">
        <w:t xml:space="preserve"> </w:t>
      </w:r>
      <w:r w:rsidRPr="00FF4031">
        <w:rPr>
          <w:color w:val="365F91" w:themeColor="accent1" w:themeShade="BF"/>
        </w:rPr>
        <w:t>The definition of “expanded criminal history check” was amended and expanded by the 2015 General Assembly, effective July 1, 2015. The definition is found at IC 20-26-2-1.5, which is included below</w:t>
      </w:r>
      <w:r w:rsidR="00401C15" w:rsidRPr="00FF4031">
        <w:rPr>
          <w:color w:val="365F91" w:themeColor="accent1" w:themeShade="BF"/>
        </w:rPr>
        <w:t xml:space="preserve">: </w:t>
      </w:r>
      <w:r w:rsidR="00EC54C9" w:rsidRPr="00FF4031">
        <w:rPr>
          <w:color w:val="365F91" w:themeColor="accent1" w:themeShade="BF"/>
        </w:rPr>
        <w:t xml:space="preserve"> </w:t>
      </w:r>
      <w:r w:rsidRPr="00FF4031">
        <w:rPr>
          <w:color w:val="365F91" w:themeColor="accent1" w:themeShade="BF"/>
        </w:rPr>
        <w:t xml:space="preserve"> </w:t>
      </w:r>
    </w:p>
    <w:p w:rsidR="0010193C" w:rsidRPr="00FF4031" w:rsidRDefault="0010193C" w:rsidP="000D7894">
      <w:pPr>
        <w:spacing w:after="120" w:line="240" w:lineRule="auto"/>
        <w:ind w:left="1440"/>
        <w:rPr>
          <w:color w:val="365F91" w:themeColor="accent1" w:themeShade="BF"/>
        </w:rPr>
      </w:pPr>
      <w:r w:rsidRPr="00FF4031">
        <w:rPr>
          <w:color w:val="365F91" w:themeColor="accent1" w:themeShade="BF"/>
        </w:rPr>
        <w:lastRenderedPageBreak/>
        <w:t xml:space="preserve">Sec.1.5. "Expanded criminal history check" means a criminal history background check of an individual that includes: </w:t>
      </w:r>
    </w:p>
    <w:p w:rsidR="0010193C" w:rsidRPr="000D7894" w:rsidRDefault="0010193C" w:rsidP="000D7894">
      <w:pPr>
        <w:pStyle w:val="ListParagraph"/>
        <w:numPr>
          <w:ilvl w:val="0"/>
          <w:numId w:val="21"/>
        </w:numPr>
        <w:spacing w:after="120" w:line="240" w:lineRule="auto"/>
        <w:rPr>
          <w:color w:val="365F91" w:themeColor="accent1" w:themeShade="BF"/>
        </w:rPr>
      </w:pPr>
      <w:r w:rsidRPr="000D7894">
        <w:rPr>
          <w:color w:val="365F91" w:themeColor="accent1" w:themeShade="BF"/>
        </w:rPr>
        <w:t xml:space="preserve">a background check by a consumer reporting agency regulated under 15 U.S.C. 1681 et seq. that does not include a written, oral, or other communication of information concerning the individual's credit score, creditworthiness, credit standing, or credit capacity, but does include a: </w:t>
      </w:r>
    </w:p>
    <w:p w:rsidR="0010193C" w:rsidRPr="000561F4" w:rsidRDefault="0010193C" w:rsidP="000561F4">
      <w:pPr>
        <w:pStyle w:val="ListParagraph"/>
        <w:numPr>
          <w:ilvl w:val="3"/>
          <w:numId w:val="25"/>
        </w:numPr>
        <w:spacing w:after="0" w:line="240" w:lineRule="auto"/>
        <w:rPr>
          <w:color w:val="365F91" w:themeColor="accent1" w:themeShade="BF"/>
        </w:rPr>
      </w:pPr>
      <w:r w:rsidRPr="000561F4">
        <w:rPr>
          <w:color w:val="365F91" w:themeColor="accent1" w:themeShade="BF"/>
        </w:rPr>
        <w:t xml:space="preserve">verification of the applicant's identity; </w:t>
      </w:r>
    </w:p>
    <w:p w:rsidR="0010193C" w:rsidRPr="000561F4" w:rsidRDefault="0010193C" w:rsidP="000561F4">
      <w:pPr>
        <w:pStyle w:val="ListParagraph"/>
        <w:numPr>
          <w:ilvl w:val="3"/>
          <w:numId w:val="25"/>
        </w:numPr>
        <w:spacing w:after="0" w:line="240" w:lineRule="auto"/>
        <w:rPr>
          <w:color w:val="365F91" w:themeColor="accent1" w:themeShade="BF"/>
        </w:rPr>
      </w:pPr>
      <w:r w:rsidRPr="000561F4">
        <w:rPr>
          <w:color w:val="365F91" w:themeColor="accent1" w:themeShade="BF"/>
        </w:rPr>
        <w:t xml:space="preserve">search of all names associated with the applicant; </w:t>
      </w:r>
    </w:p>
    <w:p w:rsidR="0010193C" w:rsidRPr="000561F4" w:rsidRDefault="0010193C" w:rsidP="000561F4">
      <w:pPr>
        <w:pStyle w:val="ListParagraph"/>
        <w:numPr>
          <w:ilvl w:val="3"/>
          <w:numId w:val="25"/>
        </w:numPr>
        <w:spacing w:after="0" w:line="240" w:lineRule="auto"/>
        <w:rPr>
          <w:color w:val="365F91" w:themeColor="accent1" w:themeShade="BF"/>
        </w:rPr>
      </w:pPr>
      <w:r w:rsidRPr="000561F4">
        <w:rPr>
          <w:color w:val="365F91" w:themeColor="accent1" w:themeShade="BF"/>
        </w:rPr>
        <w:t xml:space="preserve">search of the records maintained by all counties in Indiana in which the individual who is the subject of the background check resided; </w:t>
      </w:r>
    </w:p>
    <w:p w:rsidR="000D7894" w:rsidRPr="000561F4" w:rsidRDefault="0010193C" w:rsidP="000561F4">
      <w:pPr>
        <w:pStyle w:val="ListParagraph"/>
        <w:numPr>
          <w:ilvl w:val="3"/>
          <w:numId w:val="25"/>
        </w:numPr>
        <w:spacing w:after="0" w:line="240" w:lineRule="auto"/>
        <w:rPr>
          <w:color w:val="365F91" w:themeColor="accent1" w:themeShade="BF"/>
        </w:rPr>
      </w:pPr>
      <w:r w:rsidRPr="000561F4">
        <w:rPr>
          <w:color w:val="365F91" w:themeColor="accent1" w:themeShade="BF"/>
        </w:rPr>
        <w:t xml:space="preserve">search of the records maintained by all counties or similar governmental units in another state, if the individual who is the subject of the background check resided in another state; </w:t>
      </w:r>
    </w:p>
    <w:p w:rsidR="0010193C" w:rsidRPr="000561F4" w:rsidRDefault="0010193C" w:rsidP="000561F4">
      <w:pPr>
        <w:pStyle w:val="ListParagraph"/>
        <w:numPr>
          <w:ilvl w:val="3"/>
          <w:numId w:val="25"/>
        </w:numPr>
        <w:spacing w:after="0" w:line="240" w:lineRule="auto"/>
        <w:rPr>
          <w:color w:val="365F91" w:themeColor="accent1" w:themeShade="BF"/>
        </w:rPr>
      </w:pPr>
      <w:r w:rsidRPr="000561F4">
        <w:rPr>
          <w:color w:val="365F91" w:themeColor="accent1" w:themeShade="BF"/>
        </w:rPr>
        <w:t xml:space="preserve">search of United States district court records from the districts in which the applicant resided; </w:t>
      </w:r>
    </w:p>
    <w:p w:rsidR="0010193C" w:rsidRPr="000561F4" w:rsidRDefault="0010193C" w:rsidP="000561F4">
      <w:pPr>
        <w:pStyle w:val="ListParagraph"/>
        <w:numPr>
          <w:ilvl w:val="3"/>
          <w:numId w:val="25"/>
        </w:numPr>
        <w:spacing w:after="0" w:line="240" w:lineRule="auto"/>
        <w:rPr>
          <w:color w:val="365F91" w:themeColor="accent1" w:themeShade="BF"/>
        </w:rPr>
      </w:pPr>
      <w:r w:rsidRPr="000561F4">
        <w:rPr>
          <w:color w:val="365F91" w:themeColor="accent1" w:themeShade="BF"/>
        </w:rPr>
        <w:t xml:space="preserve">check of sex offender registries in every state or the national sex offender registry maintained by the United States Department of Justice; and </w:t>
      </w:r>
    </w:p>
    <w:p w:rsidR="0010193C" w:rsidRPr="000561F4" w:rsidRDefault="0010193C" w:rsidP="000561F4">
      <w:pPr>
        <w:pStyle w:val="ListParagraph"/>
        <w:numPr>
          <w:ilvl w:val="3"/>
          <w:numId w:val="25"/>
        </w:numPr>
        <w:spacing w:after="0" w:line="240" w:lineRule="auto"/>
        <w:rPr>
          <w:color w:val="365F91" w:themeColor="accent1" w:themeShade="BF"/>
        </w:rPr>
      </w:pPr>
      <w:r w:rsidRPr="000561F4">
        <w:rPr>
          <w:color w:val="365F91" w:themeColor="accent1" w:themeShade="BF"/>
        </w:rPr>
        <w:t xml:space="preserve">multistate criminal data base search; or </w:t>
      </w:r>
      <w:r w:rsidRPr="000561F4">
        <w:rPr>
          <w:color w:val="365F91" w:themeColor="accent1" w:themeShade="BF"/>
        </w:rPr>
        <w:tab/>
      </w:r>
    </w:p>
    <w:p w:rsidR="00CF48C1" w:rsidRPr="000D7894" w:rsidRDefault="0010193C" w:rsidP="000D7894">
      <w:pPr>
        <w:pStyle w:val="ListParagraph"/>
        <w:numPr>
          <w:ilvl w:val="0"/>
          <w:numId w:val="21"/>
        </w:numPr>
        <w:spacing w:after="0" w:line="240" w:lineRule="auto"/>
        <w:rPr>
          <w:color w:val="365F91" w:themeColor="accent1" w:themeShade="BF"/>
        </w:rPr>
      </w:pPr>
      <w:r w:rsidRPr="000D7894">
        <w:rPr>
          <w:color w:val="365F91" w:themeColor="accent1" w:themeShade="BF"/>
        </w:rPr>
        <w:t xml:space="preserve">a: </w:t>
      </w:r>
    </w:p>
    <w:p w:rsidR="00CF48C1" w:rsidRPr="000D7894" w:rsidRDefault="0010193C" w:rsidP="000561F4">
      <w:pPr>
        <w:pStyle w:val="ListParagraph"/>
        <w:numPr>
          <w:ilvl w:val="0"/>
          <w:numId w:val="26"/>
        </w:numPr>
        <w:spacing w:after="0" w:line="240" w:lineRule="auto"/>
        <w:rPr>
          <w:color w:val="365F91" w:themeColor="accent1" w:themeShade="BF"/>
        </w:rPr>
      </w:pPr>
      <w:r w:rsidRPr="000D7894">
        <w:rPr>
          <w:color w:val="365F91" w:themeColor="accent1" w:themeShade="BF"/>
        </w:rPr>
        <w:t xml:space="preserve">national criminal history background check (as defined in IC 10-13-3-12); and </w:t>
      </w:r>
    </w:p>
    <w:p w:rsidR="00CF48C1" w:rsidRPr="000D7894" w:rsidRDefault="0010193C" w:rsidP="000561F4">
      <w:pPr>
        <w:pStyle w:val="ListParagraph"/>
        <w:numPr>
          <w:ilvl w:val="0"/>
          <w:numId w:val="26"/>
        </w:numPr>
        <w:spacing w:after="0" w:line="240" w:lineRule="auto"/>
        <w:rPr>
          <w:color w:val="365F91" w:themeColor="accent1" w:themeShade="BF"/>
        </w:rPr>
      </w:pPr>
      <w:r w:rsidRPr="000D7894">
        <w:rPr>
          <w:color w:val="365F91" w:themeColor="accent1" w:themeShade="BF"/>
        </w:rPr>
        <w:t xml:space="preserve">check of: </w:t>
      </w:r>
    </w:p>
    <w:p w:rsidR="00CF48C1" w:rsidRPr="000561F4" w:rsidRDefault="0010193C" w:rsidP="000561F4">
      <w:pPr>
        <w:pStyle w:val="ListParagraph"/>
        <w:numPr>
          <w:ilvl w:val="0"/>
          <w:numId w:val="28"/>
        </w:numPr>
        <w:spacing w:after="0" w:line="240" w:lineRule="auto"/>
        <w:rPr>
          <w:color w:val="365F91" w:themeColor="accent1" w:themeShade="BF"/>
        </w:rPr>
      </w:pPr>
      <w:r w:rsidRPr="000561F4">
        <w:rPr>
          <w:color w:val="365F91" w:themeColor="accent1" w:themeShade="BF"/>
        </w:rPr>
        <w:t xml:space="preserve">sex offender registries in all fifty (50) states; or </w:t>
      </w:r>
    </w:p>
    <w:p w:rsidR="0010193C" w:rsidRPr="000561F4" w:rsidRDefault="000D7894" w:rsidP="000561F4">
      <w:pPr>
        <w:pStyle w:val="ListParagraph"/>
        <w:numPr>
          <w:ilvl w:val="0"/>
          <w:numId w:val="28"/>
        </w:numPr>
        <w:spacing w:after="0" w:line="240" w:lineRule="auto"/>
        <w:rPr>
          <w:color w:val="365F91" w:themeColor="accent1" w:themeShade="BF"/>
        </w:rPr>
      </w:pPr>
      <w:proofErr w:type="gramStart"/>
      <w:r w:rsidRPr="000561F4">
        <w:rPr>
          <w:color w:val="365F91" w:themeColor="accent1" w:themeShade="BF"/>
        </w:rPr>
        <w:t>t</w:t>
      </w:r>
      <w:r w:rsidR="0010193C" w:rsidRPr="000561F4">
        <w:rPr>
          <w:color w:val="365F91" w:themeColor="accent1" w:themeShade="BF"/>
        </w:rPr>
        <w:t>he</w:t>
      </w:r>
      <w:proofErr w:type="gramEnd"/>
      <w:r w:rsidR="0010193C" w:rsidRPr="000561F4">
        <w:rPr>
          <w:color w:val="365F91" w:themeColor="accent1" w:themeShade="BF"/>
        </w:rPr>
        <w:t xml:space="preserve"> national sex offender registry maintained by the United States Department of Justice.</w:t>
      </w:r>
    </w:p>
    <w:p w:rsidR="0010193C" w:rsidRPr="00FF4031" w:rsidRDefault="0010193C" w:rsidP="00FF4031">
      <w:pPr>
        <w:spacing w:after="120"/>
        <w:rPr>
          <w:color w:val="365F91" w:themeColor="accent1" w:themeShade="BF"/>
        </w:rPr>
      </w:pPr>
    </w:p>
    <w:p w:rsidR="00CF208C" w:rsidRPr="00FF4031" w:rsidRDefault="00CF208C" w:rsidP="00FF4031">
      <w:pPr>
        <w:spacing w:after="120"/>
        <w:rPr>
          <w:color w:val="365F91" w:themeColor="accent1" w:themeShade="BF"/>
        </w:rPr>
      </w:pPr>
      <w:r w:rsidRPr="00FF4031">
        <w:rPr>
          <w:color w:val="365F91" w:themeColor="accent1" w:themeShade="BF"/>
        </w:rPr>
        <w:t xml:space="preserve">The check described in (1) (a) above is a service provided by a private company. The check described in (2)(a)(A) above is obtained through the Indiana State Police by using </w:t>
      </w:r>
      <w:proofErr w:type="spellStart"/>
      <w:r w:rsidR="00594767" w:rsidRPr="00FF4031">
        <w:rPr>
          <w:color w:val="365F91" w:themeColor="accent1" w:themeShade="BF"/>
        </w:rPr>
        <w:t>IdentoGO</w:t>
      </w:r>
      <w:proofErr w:type="spellEnd"/>
      <w:r w:rsidR="00594767" w:rsidRPr="00FF4031">
        <w:rPr>
          <w:color w:val="365F91" w:themeColor="accent1" w:themeShade="BF"/>
        </w:rPr>
        <w:t xml:space="preserve"> (</w:t>
      </w:r>
      <w:hyperlink r:id="rId9" w:history="1">
        <w:r w:rsidR="00594767" w:rsidRPr="00FF4031">
          <w:rPr>
            <w:color w:val="365F91" w:themeColor="accent1" w:themeShade="BF"/>
          </w:rPr>
          <w:t>http://www.identogo.com/Home.aspx</w:t>
        </w:r>
      </w:hyperlink>
      <w:r w:rsidR="00594767" w:rsidRPr="00FF4031">
        <w:rPr>
          <w:color w:val="365F91" w:themeColor="accent1" w:themeShade="BF"/>
        </w:rPr>
        <w:t>) o</w:t>
      </w:r>
      <w:r w:rsidRPr="00FF4031">
        <w:rPr>
          <w:color w:val="365F91" w:themeColor="accent1" w:themeShade="BF"/>
        </w:rPr>
        <w:t xml:space="preserve">r submitting a paper fingerprint card obtained at a local police department.  (2)(a)(B) </w:t>
      </w:r>
      <w:proofErr w:type="gramStart"/>
      <w:r w:rsidRPr="00FF4031">
        <w:rPr>
          <w:color w:val="365F91" w:themeColor="accent1" w:themeShade="BF"/>
        </w:rPr>
        <w:t>can</w:t>
      </w:r>
      <w:proofErr w:type="gramEnd"/>
      <w:r w:rsidRPr="00FF4031">
        <w:rPr>
          <w:color w:val="365F91" w:themeColor="accent1" w:themeShade="BF"/>
        </w:rPr>
        <w:t xml:space="preserve"> be done by school administrators online at </w:t>
      </w:r>
      <w:hyperlink r:id="rId10" w:history="1">
        <w:r w:rsidRPr="00FF4031">
          <w:rPr>
            <w:color w:val="365F91" w:themeColor="accent1" w:themeShade="BF"/>
          </w:rPr>
          <w:t>http://www.fbi.gov/hq/cid/cac/registry.htm</w:t>
        </w:r>
      </w:hyperlink>
    </w:p>
    <w:p w:rsidR="00787226" w:rsidRPr="00FF4031" w:rsidRDefault="00787226" w:rsidP="00FF4031"/>
    <w:p w:rsidR="000501FF" w:rsidRPr="00E31CD5" w:rsidRDefault="000501FF" w:rsidP="00FF4031">
      <w:pPr>
        <w:numPr>
          <w:ilvl w:val="0"/>
          <w:numId w:val="14"/>
        </w:numPr>
        <w:rPr>
          <w:color w:val="365F91" w:themeColor="accent1" w:themeShade="BF"/>
        </w:rPr>
      </w:pPr>
      <w:r w:rsidRPr="00E31CD5">
        <w:rPr>
          <w:b/>
        </w:rPr>
        <w:t xml:space="preserve">Why is an ECPI check necessary if a school is already conducting a criminal history check? </w:t>
      </w:r>
      <w:r>
        <w:rPr>
          <w:color w:val="365F91" w:themeColor="accent1" w:themeShade="BF"/>
        </w:rPr>
        <w:t xml:space="preserve">The ECPI check is not an inquiry of whether the individual has been convicted of any criminal activity.  The ECPI </w:t>
      </w:r>
      <w:r w:rsidR="00A658A8">
        <w:rPr>
          <w:color w:val="365F91" w:themeColor="accent1" w:themeShade="BF"/>
        </w:rPr>
        <w:t>check reveals</w:t>
      </w:r>
      <w:r>
        <w:rPr>
          <w:color w:val="365F91" w:themeColor="accent1" w:themeShade="BF"/>
        </w:rPr>
        <w:t xml:space="preserve"> whether the Department of Child Services has found an allegation of child abuse or neglect to be substantiated, meaning a preponderance of the evidence indicates that the child abuse or neglect has occurred.  A substantiated finding will be reported if the subject of the check was found to be the perpetrator of the child abuse or neglect.  See IC 31-9-2-123, definition of “substantiated.”</w:t>
      </w:r>
    </w:p>
    <w:p w:rsidR="007A78B2" w:rsidRPr="00FF4031" w:rsidRDefault="007A78B2" w:rsidP="00FF4031">
      <w:pPr>
        <w:numPr>
          <w:ilvl w:val="0"/>
          <w:numId w:val="14"/>
        </w:numPr>
        <w:rPr>
          <w:color w:val="365F91" w:themeColor="accent1" w:themeShade="BF"/>
        </w:rPr>
      </w:pPr>
      <w:r w:rsidRPr="00FF4031">
        <w:rPr>
          <w:b/>
        </w:rPr>
        <w:t xml:space="preserve">Are school employers required to use </w:t>
      </w:r>
      <w:proofErr w:type="spellStart"/>
      <w:r w:rsidR="00594767" w:rsidRPr="00FF4031">
        <w:rPr>
          <w:b/>
        </w:rPr>
        <w:t>IdentoGO</w:t>
      </w:r>
      <w:proofErr w:type="spellEnd"/>
      <w:r w:rsidR="00594767" w:rsidRPr="00FF4031">
        <w:rPr>
          <w:b/>
        </w:rPr>
        <w:t>?</w:t>
      </w:r>
      <w:r w:rsidR="00594767" w:rsidRPr="00FF4031">
        <w:t xml:space="preserve"> </w:t>
      </w:r>
      <w:r w:rsidRPr="00FF4031">
        <w:t xml:space="preserve"> </w:t>
      </w:r>
      <w:r w:rsidRPr="00FF4031">
        <w:rPr>
          <w:color w:val="365F91" w:themeColor="accent1" w:themeShade="BF"/>
        </w:rPr>
        <w:t xml:space="preserve">No. There are several vendors that provide ECH services. </w:t>
      </w:r>
      <w:r w:rsidR="00260BEF" w:rsidRPr="00FF4031">
        <w:rPr>
          <w:color w:val="365F91" w:themeColor="accent1" w:themeShade="BF"/>
        </w:rPr>
        <w:t>Because t</w:t>
      </w:r>
      <w:r w:rsidRPr="00FF4031">
        <w:rPr>
          <w:color w:val="365F91" w:themeColor="accent1" w:themeShade="BF"/>
        </w:rPr>
        <w:t xml:space="preserve">he </w:t>
      </w:r>
      <w:r w:rsidR="00594767" w:rsidRPr="00FF4031">
        <w:rPr>
          <w:color w:val="365F91" w:themeColor="accent1" w:themeShade="BF"/>
        </w:rPr>
        <w:t xml:space="preserve">State of </w:t>
      </w:r>
      <w:r w:rsidRPr="00FF4031">
        <w:rPr>
          <w:color w:val="365F91" w:themeColor="accent1" w:themeShade="BF"/>
        </w:rPr>
        <w:t xml:space="preserve">Indiana </w:t>
      </w:r>
      <w:r w:rsidR="00260BEF" w:rsidRPr="00FF4031">
        <w:rPr>
          <w:color w:val="365F91" w:themeColor="accent1" w:themeShade="BF"/>
        </w:rPr>
        <w:t xml:space="preserve">has an existing contractual relationship with </w:t>
      </w:r>
      <w:proofErr w:type="spellStart"/>
      <w:r w:rsidR="00594767" w:rsidRPr="00FF4031">
        <w:rPr>
          <w:color w:val="365F91" w:themeColor="accent1" w:themeShade="BF"/>
        </w:rPr>
        <w:t>IdentoGO</w:t>
      </w:r>
      <w:proofErr w:type="spellEnd"/>
      <w:r w:rsidR="00594767" w:rsidRPr="00FF4031">
        <w:rPr>
          <w:color w:val="365F91" w:themeColor="accent1" w:themeShade="BF"/>
        </w:rPr>
        <w:t>,</w:t>
      </w:r>
      <w:r w:rsidR="00260BEF" w:rsidRPr="00FF4031">
        <w:rPr>
          <w:color w:val="365F91" w:themeColor="accent1" w:themeShade="BF"/>
        </w:rPr>
        <w:t xml:space="preserve"> </w:t>
      </w:r>
      <w:r w:rsidRPr="00FF4031">
        <w:rPr>
          <w:color w:val="365F91" w:themeColor="accent1" w:themeShade="BF"/>
        </w:rPr>
        <w:t xml:space="preserve">school employers may </w:t>
      </w:r>
      <w:r w:rsidR="00260BEF" w:rsidRPr="00FF4031">
        <w:rPr>
          <w:color w:val="365F91" w:themeColor="accent1" w:themeShade="BF"/>
        </w:rPr>
        <w:t xml:space="preserve">utilize </w:t>
      </w:r>
      <w:proofErr w:type="spellStart"/>
      <w:r w:rsidR="00594767" w:rsidRPr="00FF4031">
        <w:rPr>
          <w:color w:val="365F91" w:themeColor="accent1" w:themeShade="BF"/>
        </w:rPr>
        <w:t>IdentoGO</w:t>
      </w:r>
      <w:proofErr w:type="spellEnd"/>
      <w:r w:rsidR="00594767" w:rsidRPr="00FF4031">
        <w:rPr>
          <w:color w:val="365F91" w:themeColor="accent1" w:themeShade="BF"/>
        </w:rPr>
        <w:t xml:space="preserve"> </w:t>
      </w:r>
      <w:r w:rsidR="00260BEF" w:rsidRPr="00FF4031">
        <w:rPr>
          <w:color w:val="365F91" w:themeColor="accent1" w:themeShade="BF"/>
        </w:rPr>
        <w:t xml:space="preserve">as well.  </w:t>
      </w:r>
      <w:r w:rsidRPr="00FF4031">
        <w:rPr>
          <w:color w:val="365F91" w:themeColor="accent1" w:themeShade="BF"/>
        </w:rPr>
        <w:t xml:space="preserve">  </w:t>
      </w:r>
    </w:p>
    <w:p w:rsidR="00CE1781" w:rsidRPr="00FF4031" w:rsidRDefault="00CE1781" w:rsidP="00FF4031">
      <w:pPr>
        <w:numPr>
          <w:ilvl w:val="0"/>
          <w:numId w:val="14"/>
        </w:numPr>
        <w:rPr>
          <w:color w:val="365F91" w:themeColor="accent1" w:themeShade="BF"/>
        </w:rPr>
      </w:pPr>
      <w:r w:rsidRPr="00FF4031">
        <w:rPr>
          <w:b/>
        </w:rPr>
        <w:t>Does the ECH have to include fingerprinting?</w:t>
      </w:r>
      <w:r w:rsidRPr="00FF4031">
        <w:t xml:space="preserve"> </w:t>
      </w:r>
      <w:r w:rsidR="00DA47FD" w:rsidRPr="00FF4031">
        <w:t xml:space="preserve"> </w:t>
      </w:r>
      <w:r w:rsidR="00DA47FD" w:rsidRPr="00FF4031">
        <w:rPr>
          <w:color w:val="365F91" w:themeColor="accent1" w:themeShade="BF"/>
        </w:rPr>
        <w:t xml:space="preserve">No.  There are several vendors that provide expanded criminal history checks that are not based on fingerprints. If a school employer wants to </w:t>
      </w:r>
      <w:proofErr w:type="spellStart"/>
      <w:r w:rsidR="00594767" w:rsidRPr="00FF4031">
        <w:rPr>
          <w:color w:val="365F91" w:themeColor="accent1" w:themeShade="BF"/>
        </w:rPr>
        <w:t>IdentoGo</w:t>
      </w:r>
      <w:proofErr w:type="spellEnd"/>
      <w:r w:rsidR="00594767" w:rsidRPr="00FF4031">
        <w:rPr>
          <w:color w:val="365F91" w:themeColor="accent1" w:themeShade="BF"/>
        </w:rPr>
        <w:t>, t</w:t>
      </w:r>
      <w:r w:rsidR="00DA47FD" w:rsidRPr="00FF4031">
        <w:rPr>
          <w:color w:val="365F91" w:themeColor="accent1" w:themeShade="BF"/>
        </w:rPr>
        <w:t xml:space="preserve">hat </w:t>
      </w:r>
      <w:r w:rsidR="00DA47FD" w:rsidRPr="00FF4031">
        <w:rPr>
          <w:color w:val="365F91" w:themeColor="accent1" w:themeShade="BF"/>
        </w:rPr>
        <w:lastRenderedPageBreak/>
        <w:t xml:space="preserve">service is based on searches of the </w:t>
      </w:r>
      <w:r w:rsidR="009C73AF" w:rsidRPr="00FF4031">
        <w:rPr>
          <w:color w:val="365F91" w:themeColor="accent1" w:themeShade="BF"/>
        </w:rPr>
        <w:t xml:space="preserve">Indiana State Police Automated Fingerprint Identification System (AFIS) and the FBI’s Integrated Automated Fingerprint Identification System (IAFIS). For information about IAFIS go to </w:t>
      </w:r>
      <w:hyperlink r:id="rId11" w:history="1">
        <w:r w:rsidR="009C73AF" w:rsidRPr="00FF4031">
          <w:rPr>
            <w:color w:val="365F91" w:themeColor="accent1" w:themeShade="BF"/>
          </w:rPr>
          <w:t>http://www.fbi.gov/hq/cjisd/iafis.htm</w:t>
        </w:r>
      </w:hyperlink>
    </w:p>
    <w:p w:rsidR="00CE1781" w:rsidRPr="00FF4031" w:rsidRDefault="00CE1781" w:rsidP="00FF4031">
      <w:pPr>
        <w:numPr>
          <w:ilvl w:val="0"/>
          <w:numId w:val="14"/>
        </w:numPr>
        <w:rPr>
          <w:color w:val="365F91" w:themeColor="accent1" w:themeShade="BF"/>
        </w:rPr>
      </w:pPr>
      <w:r w:rsidRPr="00FF4031">
        <w:rPr>
          <w:b/>
        </w:rPr>
        <w:t xml:space="preserve">Does the </w:t>
      </w:r>
      <w:r w:rsidR="00DB7B7F" w:rsidRPr="00FF4031">
        <w:rPr>
          <w:b/>
        </w:rPr>
        <w:t xml:space="preserve">ECH </w:t>
      </w:r>
      <w:r w:rsidR="00962F16" w:rsidRPr="00FF4031">
        <w:rPr>
          <w:b/>
        </w:rPr>
        <w:t xml:space="preserve">check using </w:t>
      </w:r>
      <w:proofErr w:type="spellStart"/>
      <w:r w:rsidR="00594767" w:rsidRPr="00FF4031">
        <w:rPr>
          <w:b/>
        </w:rPr>
        <w:t>IdentoGO</w:t>
      </w:r>
      <w:proofErr w:type="spellEnd"/>
      <w:r w:rsidR="00594767" w:rsidRPr="00FF4031">
        <w:rPr>
          <w:b/>
        </w:rPr>
        <w:t xml:space="preserve"> </w:t>
      </w:r>
      <w:r w:rsidR="00962F16" w:rsidRPr="00FF4031">
        <w:rPr>
          <w:b/>
        </w:rPr>
        <w:t xml:space="preserve">fingerprinting service </w:t>
      </w:r>
      <w:r w:rsidRPr="00FF4031">
        <w:rPr>
          <w:b/>
        </w:rPr>
        <w:t xml:space="preserve">and </w:t>
      </w:r>
      <w:r w:rsidR="00962F16" w:rsidRPr="00FF4031">
        <w:rPr>
          <w:b/>
        </w:rPr>
        <w:t xml:space="preserve">the </w:t>
      </w:r>
      <w:r w:rsidRPr="00FF4031">
        <w:rPr>
          <w:b/>
        </w:rPr>
        <w:t>Indiana State Police AFIS and IAF</w:t>
      </w:r>
      <w:r w:rsidR="00A66532" w:rsidRPr="00FF4031">
        <w:rPr>
          <w:b/>
        </w:rPr>
        <w:t>I</w:t>
      </w:r>
      <w:r w:rsidRPr="00FF4031">
        <w:rPr>
          <w:b/>
        </w:rPr>
        <w:t>S</w:t>
      </w:r>
      <w:r w:rsidR="00962F16" w:rsidRPr="00FF4031">
        <w:rPr>
          <w:b/>
        </w:rPr>
        <w:t xml:space="preserve"> searches fulfill t</w:t>
      </w:r>
      <w:r w:rsidRPr="00FF4031">
        <w:rPr>
          <w:b/>
        </w:rPr>
        <w:t xml:space="preserve">he </w:t>
      </w:r>
      <w:r w:rsidR="00594767" w:rsidRPr="00FF4031">
        <w:rPr>
          <w:b/>
        </w:rPr>
        <w:t>requirements of IC 20-26-2-1.5?</w:t>
      </w:r>
      <w:r w:rsidR="00594767" w:rsidRPr="00FF4031">
        <w:t xml:space="preserve">  </w:t>
      </w:r>
      <w:r w:rsidR="009C73AF" w:rsidRPr="00FF4031">
        <w:rPr>
          <w:color w:val="365F91" w:themeColor="accent1" w:themeShade="BF"/>
        </w:rPr>
        <w:t xml:space="preserve">The </w:t>
      </w:r>
      <w:proofErr w:type="spellStart"/>
      <w:r w:rsidR="00594767" w:rsidRPr="00FF4031">
        <w:rPr>
          <w:color w:val="365F91" w:themeColor="accent1" w:themeShade="BF"/>
        </w:rPr>
        <w:t>IdentoGO</w:t>
      </w:r>
      <w:proofErr w:type="spellEnd"/>
      <w:r w:rsidR="00594767" w:rsidRPr="00FF4031">
        <w:rPr>
          <w:color w:val="365F91" w:themeColor="accent1" w:themeShade="BF"/>
        </w:rPr>
        <w:t xml:space="preserve"> searches </w:t>
      </w:r>
      <w:r w:rsidR="0010776D" w:rsidRPr="00FF4031">
        <w:rPr>
          <w:color w:val="365F91" w:themeColor="accent1" w:themeShade="BF"/>
        </w:rPr>
        <w:t xml:space="preserve">will likely </w:t>
      </w:r>
      <w:r w:rsidR="009C73AF" w:rsidRPr="00FF4031">
        <w:rPr>
          <w:color w:val="365F91" w:themeColor="accent1" w:themeShade="BF"/>
        </w:rPr>
        <w:t xml:space="preserve">pick up sex offender convictions in other states, but it does not </w:t>
      </w:r>
      <w:r w:rsidR="00962F16" w:rsidRPr="00FF4031">
        <w:rPr>
          <w:color w:val="365F91" w:themeColor="accent1" w:themeShade="BF"/>
        </w:rPr>
        <w:t xml:space="preserve">specifically </w:t>
      </w:r>
      <w:r w:rsidR="009C73AF" w:rsidRPr="00FF4031">
        <w:rPr>
          <w:color w:val="365F91" w:themeColor="accent1" w:themeShade="BF"/>
        </w:rPr>
        <w:t xml:space="preserve">search the national sex offender registry or the sex offender registries of all 50 states. If you use </w:t>
      </w:r>
      <w:proofErr w:type="spellStart"/>
      <w:r w:rsidR="00594767" w:rsidRPr="00FF4031">
        <w:rPr>
          <w:color w:val="365F91" w:themeColor="accent1" w:themeShade="BF"/>
        </w:rPr>
        <w:t>IdentoGO</w:t>
      </w:r>
      <w:proofErr w:type="spellEnd"/>
      <w:r w:rsidR="00594767" w:rsidRPr="00FF4031">
        <w:rPr>
          <w:color w:val="365F91" w:themeColor="accent1" w:themeShade="BF"/>
        </w:rPr>
        <w:t xml:space="preserve"> </w:t>
      </w:r>
      <w:r w:rsidR="009C73AF" w:rsidRPr="00FF4031">
        <w:rPr>
          <w:color w:val="365F91" w:themeColor="accent1" w:themeShade="BF"/>
        </w:rPr>
        <w:t>you should also check the Indiana Sex</w:t>
      </w:r>
      <w:r w:rsidR="001975EC" w:rsidRPr="00FF4031">
        <w:rPr>
          <w:color w:val="365F91" w:themeColor="accent1" w:themeShade="BF"/>
        </w:rPr>
        <w:t>/Violent</w:t>
      </w:r>
      <w:r w:rsidR="009C73AF" w:rsidRPr="00FF4031">
        <w:rPr>
          <w:color w:val="365F91" w:themeColor="accent1" w:themeShade="BF"/>
        </w:rPr>
        <w:t xml:space="preserve"> Offender Registr</w:t>
      </w:r>
      <w:r w:rsidR="00CE4C4D" w:rsidRPr="00FF4031">
        <w:rPr>
          <w:color w:val="365F91" w:themeColor="accent1" w:themeShade="BF"/>
        </w:rPr>
        <w:t xml:space="preserve">ies </w:t>
      </w:r>
      <w:r w:rsidR="009C73AF" w:rsidRPr="00FF4031">
        <w:rPr>
          <w:color w:val="365F91" w:themeColor="accent1" w:themeShade="BF"/>
        </w:rPr>
        <w:t xml:space="preserve">at </w:t>
      </w:r>
      <w:hyperlink r:id="rId12" w:history="1">
        <w:r w:rsidR="009A4535" w:rsidRPr="00FF4031">
          <w:rPr>
            <w:color w:val="365F91" w:themeColor="accent1" w:themeShade="BF"/>
          </w:rPr>
          <w:t>http://www.icrimewatch.net/indiana.php</w:t>
        </w:r>
      </w:hyperlink>
      <w:r w:rsidR="009A4535" w:rsidRPr="00FF4031">
        <w:rPr>
          <w:color w:val="365F91" w:themeColor="accent1" w:themeShade="BF"/>
        </w:rPr>
        <w:t xml:space="preserve"> </w:t>
      </w:r>
      <w:r w:rsidR="009C73AF" w:rsidRPr="00FF4031">
        <w:rPr>
          <w:color w:val="365F91" w:themeColor="accent1" w:themeShade="BF"/>
        </w:rPr>
        <w:t xml:space="preserve">and the National Sex Offender Registry at </w:t>
      </w:r>
      <w:hyperlink r:id="rId13" w:history="1">
        <w:r w:rsidR="009A4535" w:rsidRPr="00FF4031">
          <w:rPr>
            <w:color w:val="365F91" w:themeColor="accent1" w:themeShade="BF"/>
          </w:rPr>
          <w:t>http://www.nsopw.gov/</w:t>
        </w:r>
      </w:hyperlink>
      <w:r w:rsidR="009A4535" w:rsidRPr="00FF4031">
        <w:rPr>
          <w:color w:val="365F91" w:themeColor="accent1" w:themeShade="BF"/>
        </w:rPr>
        <w:t xml:space="preserve"> </w:t>
      </w:r>
      <w:r w:rsidR="009C73AF" w:rsidRPr="00FF4031">
        <w:rPr>
          <w:color w:val="365F91" w:themeColor="accent1" w:themeShade="BF"/>
        </w:rPr>
        <w:t xml:space="preserve">in order to </w:t>
      </w:r>
      <w:r w:rsidR="00962F16" w:rsidRPr="00FF4031">
        <w:rPr>
          <w:color w:val="365F91" w:themeColor="accent1" w:themeShade="BF"/>
        </w:rPr>
        <w:t xml:space="preserve">fully </w:t>
      </w:r>
      <w:r w:rsidR="009C73AF" w:rsidRPr="00FF4031">
        <w:rPr>
          <w:color w:val="365F91" w:themeColor="accent1" w:themeShade="BF"/>
        </w:rPr>
        <w:t xml:space="preserve">comply with </w:t>
      </w:r>
      <w:r w:rsidR="00594767" w:rsidRPr="00FF4031">
        <w:rPr>
          <w:color w:val="365F91" w:themeColor="accent1" w:themeShade="BF"/>
        </w:rPr>
        <w:t xml:space="preserve">IC 20-26-2-1.5. </w:t>
      </w:r>
      <w:r w:rsidR="00DB7B7F" w:rsidRPr="00FF4031">
        <w:rPr>
          <w:color w:val="365F91" w:themeColor="accent1" w:themeShade="BF"/>
        </w:rPr>
        <w:t xml:space="preserve">Access to these websites is free. </w:t>
      </w:r>
    </w:p>
    <w:p w:rsidR="007E181C" w:rsidRPr="00FF4031" w:rsidRDefault="007E181C" w:rsidP="00FF4031">
      <w:pPr>
        <w:numPr>
          <w:ilvl w:val="0"/>
          <w:numId w:val="14"/>
        </w:numPr>
        <w:rPr>
          <w:color w:val="365F91" w:themeColor="accent1" w:themeShade="BF"/>
        </w:rPr>
      </w:pPr>
      <w:r w:rsidRPr="00FF4031">
        <w:rPr>
          <w:b/>
        </w:rPr>
        <w:t>How do I know if the services of my ECH vendor will include the ECPI check after July 1, 2016?</w:t>
      </w:r>
      <w:r w:rsidRPr="00FF4031">
        <w:t xml:space="preserve">  </w:t>
      </w:r>
      <w:r w:rsidR="00FA5E03" w:rsidRPr="00FF4031">
        <w:rPr>
          <w:color w:val="365F91" w:themeColor="accent1" w:themeShade="BF"/>
        </w:rPr>
        <w:t xml:space="preserve">If you are using a private </w:t>
      </w:r>
      <w:r w:rsidRPr="00FF4031">
        <w:rPr>
          <w:color w:val="365F91" w:themeColor="accent1" w:themeShade="BF"/>
        </w:rPr>
        <w:t xml:space="preserve">ECH vendor </w:t>
      </w:r>
      <w:r w:rsidR="00FA5E03" w:rsidRPr="00FF4031">
        <w:rPr>
          <w:color w:val="365F91" w:themeColor="accent1" w:themeShade="BF"/>
        </w:rPr>
        <w:t xml:space="preserve">to conduct ECH checks you should contact your vendor </w:t>
      </w:r>
      <w:r w:rsidRPr="00FF4031">
        <w:rPr>
          <w:color w:val="365F91" w:themeColor="accent1" w:themeShade="BF"/>
        </w:rPr>
        <w:t xml:space="preserve">to confirm that it will include the </w:t>
      </w:r>
      <w:r w:rsidR="00FA5E03" w:rsidRPr="00FF4031">
        <w:rPr>
          <w:color w:val="365F91" w:themeColor="accent1" w:themeShade="BF"/>
        </w:rPr>
        <w:t>required ECPI check</w:t>
      </w:r>
      <w:r w:rsidR="00B60EF5" w:rsidRPr="00FF4031">
        <w:rPr>
          <w:color w:val="365F91" w:themeColor="accent1" w:themeShade="BF"/>
        </w:rPr>
        <w:t xml:space="preserve"> as of July 1, 2016</w:t>
      </w:r>
      <w:r w:rsidR="00FA5E03" w:rsidRPr="00FF4031">
        <w:rPr>
          <w:color w:val="365F91" w:themeColor="accent1" w:themeShade="BF"/>
        </w:rPr>
        <w:t xml:space="preserve">. If you are currently using a fingerprint based ECH through Indiana State Police AFIS and IAFIS, you </w:t>
      </w:r>
      <w:r w:rsidR="00B60EF5" w:rsidRPr="00FF4031">
        <w:rPr>
          <w:color w:val="365F91" w:themeColor="accent1" w:themeShade="BF"/>
        </w:rPr>
        <w:t xml:space="preserve">may need to assign your Human Resources office to contact other states for the ECPI checks or engage a vendor to conduct the ECPI checks.  </w:t>
      </w:r>
      <w:r w:rsidR="00A658A8">
        <w:rPr>
          <w:color w:val="365F91" w:themeColor="accent1" w:themeShade="BF"/>
        </w:rPr>
        <w:t xml:space="preserve">Please make sure your vendor understands that the ECPI check in Indiana </w:t>
      </w:r>
      <w:r w:rsidR="00A658A8">
        <w:rPr>
          <w:b/>
          <w:color w:val="365F91" w:themeColor="accent1" w:themeShade="BF"/>
        </w:rPr>
        <w:t xml:space="preserve">must </w:t>
      </w:r>
      <w:r w:rsidR="00A658A8">
        <w:rPr>
          <w:color w:val="365F91" w:themeColor="accent1" w:themeShade="BF"/>
        </w:rPr>
        <w:t xml:space="preserve">be completed by the Indiana Department of Child Services (“DCS”).  DCS has developed a specific form for the purpose of requesting an ECPI check under IC 20-26-2-1.3, which must be sent to the DCS Central Office Background Check Unit at the address provided on the form.  The form is located on the </w:t>
      </w:r>
      <w:hyperlink r:id="rId14" w:history="1">
        <w:r w:rsidR="00A658A8" w:rsidRPr="00A658A8">
          <w:rPr>
            <w:rStyle w:val="Hyperlink"/>
          </w:rPr>
          <w:t>DCS website</w:t>
        </w:r>
      </w:hyperlink>
      <w:r w:rsidR="00A658A8">
        <w:rPr>
          <w:color w:val="365F91" w:themeColor="accent1" w:themeShade="BF"/>
        </w:rPr>
        <w:t xml:space="preserve"> and can be submitted to the COBCU by any person, but must be signed by the subject of the check. </w:t>
      </w:r>
      <w:r w:rsidR="001D3508">
        <w:rPr>
          <w:color w:val="365F91" w:themeColor="accent1" w:themeShade="BF"/>
        </w:rPr>
        <w:t xml:space="preserve">The form can </w:t>
      </w:r>
      <w:r w:rsidR="001D3508">
        <w:rPr>
          <w:color w:val="1F497D"/>
        </w:rPr>
        <w:t xml:space="preserve">be sent electronically by fax or scanned PDF to </w:t>
      </w:r>
      <w:hyperlink r:id="rId15" w:history="1">
        <w:r w:rsidR="001D3508">
          <w:rPr>
            <w:rStyle w:val="Hyperlink"/>
          </w:rPr>
          <w:t>doe.cpichecks@dcs.in.gov</w:t>
        </w:r>
      </w:hyperlink>
      <w:r w:rsidR="001D3508">
        <w:rPr>
          <w:color w:val="1F497D"/>
        </w:rPr>
        <w:t xml:space="preserve">. </w:t>
      </w:r>
      <w:r w:rsidR="00A658A8">
        <w:rPr>
          <w:color w:val="365F91" w:themeColor="accent1" w:themeShade="BF"/>
        </w:rPr>
        <w:t xml:space="preserve"> ECPI checks for states other than Indiana must be completed by the school or a vendor.  California has compiled a list of the state contacts for child protective services </w:t>
      </w:r>
      <w:proofErr w:type="gramStart"/>
      <w:r w:rsidR="00A658A8">
        <w:rPr>
          <w:color w:val="365F91" w:themeColor="accent1" w:themeShade="BF"/>
        </w:rPr>
        <w:t>checks,</w:t>
      </w:r>
      <w:proofErr w:type="gramEnd"/>
      <w:r w:rsidR="00A658A8">
        <w:rPr>
          <w:color w:val="365F91" w:themeColor="accent1" w:themeShade="BF"/>
        </w:rPr>
        <w:t xml:space="preserve"> a recent version is available </w:t>
      </w:r>
      <w:hyperlink r:id="rId16" w:history="1">
        <w:r w:rsidR="00A658A8" w:rsidRPr="00A658A8">
          <w:rPr>
            <w:rStyle w:val="Hyperlink"/>
          </w:rPr>
          <w:t>here</w:t>
        </w:r>
      </w:hyperlink>
      <w:r w:rsidR="00A658A8">
        <w:rPr>
          <w:color w:val="365F91" w:themeColor="accent1" w:themeShade="BF"/>
        </w:rPr>
        <w:t xml:space="preserve"> (dated 4/19/16).  The most up-to-date list can be found on their </w:t>
      </w:r>
      <w:hyperlink r:id="rId17" w:history="1">
        <w:r w:rsidR="00A658A8" w:rsidRPr="00A658A8">
          <w:rPr>
            <w:rStyle w:val="Hyperlink"/>
          </w:rPr>
          <w:t>website</w:t>
        </w:r>
      </w:hyperlink>
      <w:r w:rsidR="001D3508">
        <w:rPr>
          <w:color w:val="365F91" w:themeColor="accent1" w:themeShade="BF"/>
        </w:rPr>
        <w:t xml:space="preserve">.  The Indiana ECPI check will take approximately 10 </w:t>
      </w:r>
      <w:r w:rsidR="007D5ED7">
        <w:rPr>
          <w:color w:val="365F91" w:themeColor="accent1" w:themeShade="BF"/>
        </w:rPr>
        <w:t xml:space="preserve">business </w:t>
      </w:r>
      <w:r w:rsidR="001D3508">
        <w:rPr>
          <w:color w:val="365F91" w:themeColor="accent1" w:themeShade="BF"/>
        </w:rPr>
        <w:t xml:space="preserve">days. </w:t>
      </w:r>
    </w:p>
    <w:p w:rsidR="00962F16" w:rsidRPr="00FF4031" w:rsidRDefault="00CE1781" w:rsidP="00FF4031">
      <w:pPr>
        <w:numPr>
          <w:ilvl w:val="0"/>
          <w:numId w:val="14"/>
        </w:numPr>
        <w:rPr>
          <w:color w:val="365F91" w:themeColor="accent1" w:themeShade="BF"/>
        </w:rPr>
      </w:pPr>
      <w:r w:rsidRPr="00FF4031">
        <w:rPr>
          <w:b/>
        </w:rPr>
        <w:t xml:space="preserve">Can the governing body adopt a policy requiring </w:t>
      </w:r>
      <w:r w:rsidR="00962F16" w:rsidRPr="00FF4031">
        <w:rPr>
          <w:b/>
        </w:rPr>
        <w:t xml:space="preserve">ECH </w:t>
      </w:r>
      <w:r w:rsidR="00B60EF5" w:rsidRPr="00FF4031">
        <w:rPr>
          <w:b/>
        </w:rPr>
        <w:t xml:space="preserve">and ECPI checks </w:t>
      </w:r>
      <w:r w:rsidR="00962F16" w:rsidRPr="00FF4031">
        <w:rPr>
          <w:b/>
        </w:rPr>
        <w:t>for current employees?</w:t>
      </w:r>
      <w:r w:rsidR="00962F16" w:rsidRPr="00FF4031">
        <w:t xml:space="preserve"> </w:t>
      </w:r>
      <w:r w:rsidR="009C73AF" w:rsidRPr="00FF4031">
        <w:t xml:space="preserve"> </w:t>
      </w:r>
      <w:r w:rsidR="00936C9D" w:rsidRPr="00936C9D">
        <w:rPr>
          <w:color w:val="244061" w:themeColor="accent1" w:themeShade="80"/>
        </w:rPr>
        <w:t>Yes, a</w:t>
      </w:r>
      <w:r w:rsidR="009C73AF" w:rsidRPr="00936C9D">
        <w:rPr>
          <w:color w:val="244061" w:themeColor="accent1" w:themeShade="80"/>
        </w:rPr>
        <w:t xml:space="preserve"> </w:t>
      </w:r>
      <w:r w:rsidR="009C73AF" w:rsidRPr="00FF4031">
        <w:rPr>
          <w:color w:val="365F91" w:themeColor="accent1" w:themeShade="BF"/>
        </w:rPr>
        <w:t xml:space="preserve">governing body has the authority to adopt a policy that addresses </w:t>
      </w:r>
      <w:r w:rsidR="00962F16" w:rsidRPr="00FF4031">
        <w:rPr>
          <w:color w:val="365F91" w:themeColor="accent1" w:themeShade="BF"/>
        </w:rPr>
        <w:t xml:space="preserve">expanded criminal history </w:t>
      </w:r>
      <w:r w:rsidR="00B60EF5" w:rsidRPr="00FF4031">
        <w:rPr>
          <w:color w:val="365F91" w:themeColor="accent1" w:themeShade="BF"/>
        </w:rPr>
        <w:t xml:space="preserve">and expanded child protection index </w:t>
      </w:r>
      <w:r w:rsidR="00962F16" w:rsidRPr="00FF4031">
        <w:rPr>
          <w:color w:val="365F91" w:themeColor="accent1" w:themeShade="BF"/>
        </w:rPr>
        <w:t xml:space="preserve">checks for current employees as well as new hires. </w:t>
      </w:r>
    </w:p>
    <w:p w:rsidR="008458FA" w:rsidRPr="00FF4031" w:rsidRDefault="00962F16" w:rsidP="00FF4031">
      <w:pPr>
        <w:numPr>
          <w:ilvl w:val="0"/>
          <w:numId w:val="14"/>
        </w:numPr>
      </w:pPr>
      <w:r w:rsidRPr="00FF4031">
        <w:rPr>
          <w:b/>
        </w:rPr>
        <w:t xml:space="preserve">Do the </w:t>
      </w:r>
      <w:r w:rsidR="00B60EF5" w:rsidRPr="00FF4031">
        <w:rPr>
          <w:b/>
        </w:rPr>
        <w:t xml:space="preserve">ECH and ECPI </w:t>
      </w:r>
      <w:r w:rsidRPr="00FF4031">
        <w:rPr>
          <w:b/>
        </w:rPr>
        <w:t>expanded criminal history check</w:t>
      </w:r>
      <w:r w:rsidR="00B60EF5" w:rsidRPr="00FF4031">
        <w:rPr>
          <w:b/>
        </w:rPr>
        <w:t>s</w:t>
      </w:r>
      <w:r w:rsidRPr="00FF4031">
        <w:rPr>
          <w:b/>
        </w:rPr>
        <w:t xml:space="preserve"> apply to all employees or just teachers?</w:t>
      </w:r>
      <w:r w:rsidRPr="00FF4031">
        <w:t xml:space="preserve">  </w:t>
      </w:r>
      <w:r w:rsidR="008458FA" w:rsidRPr="00FF4031">
        <w:rPr>
          <w:color w:val="365F91" w:themeColor="accent1" w:themeShade="BF"/>
        </w:rPr>
        <w:t xml:space="preserve">The </w:t>
      </w:r>
      <w:r w:rsidR="00B60EF5" w:rsidRPr="00FF4031">
        <w:rPr>
          <w:color w:val="365F91" w:themeColor="accent1" w:themeShade="BF"/>
        </w:rPr>
        <w:t xml:space="preserve">ECH </w:t>
      </w:r>
      <w:r w:rsidR="008458FA" w:rsidRPr="00FF4031">
        <w:rPr>
          <w:color w:val="365F91" w:themeColor="accent1" w:themeShade="BF"/>
        </w:rPr>
        <w:t>requirement applies to all new hires after July 1</w:t>
      </w:r>
      <w:r w:rsidR="00DB7B7F" w:rsidRPr="00FF4031">
        <w:rPr>
          <w:color w:val="365F91" w:themeColor="accent1" w:themeShade="BF"/>
        </w:rPr>
        <w:t>, 2009</w:t>
      </w:r>
      <w:r w:rsidR="008458FA" w:rsidRPr="00FF4031">
        <w:rPr>
          <w:color w:val="365F91" w:themeColor="accent1" w:themeShade="BF"/>
        </w:rPr>
        <w:t xml:space="preserve"> </w:t>
      </w:r>
      <w:r w:rsidR="00DB7B7F" w:rsidRPr="00FF4031">
        <w:rPr>
          <w:color w:val="365F91" w:themeColor="accent1" w:themeShade="BF"/>
        </w:rPr>
        <w:t>“</w:t>
      </w:r>
      <w:r w:rsidR="008458FA" w:rsidRPr="00FF4031">
        <w:rPr>
          <w:color w:val="365F91" w:themeColor="accent1" w:themeShade="BF"/>
        </w:rPr>
        <w:t>who are likely to have direct, ongoing contact with children within the scope of their employment,</w:t>
      </w:r>
      <w:r w:rsidR="00DB7B7F" w:rsidRPr="00FF4031">
        <w:rPr>
          <w:color w:val="365F91" w:themeColor="accent1" w:themeShade="BF"/>
        </w:rPr>
        <w:t xml:space="preserve">” </w:t>
      </w:r>
      <w:r w:rsidR="008458FA" w:rsidRPr="00FF4031">
        <w:rPr>
          <w:color w:val="365F91" w:themeColor="accent1" w:themeShade="BF"/>
        </w:rPr>
        <w:t xml:space="preserve">regardless of whether the individuals are certified or noncertified. </w:t>
      </w:r>
      <w:r w:rsidR="00B60EF5" w:rsidRPr="00FF4031">
        <w:rPr>
          <w:color w:val="365F91" w:themeColor="accent1" w:themeShade="BF"/>
        </w:rPr>
        <w:t>As of July 1, 2016, the ECPI check applies to the same categories of employees</w:t>
      </w:r>
      <w:r w:rsidR="00B60EF5" w:rsidRPr="00FF4031">
        <w:t xml:space="preserve">. </w:t>
      </w:r>
    </w:p>
    <w:p w:rsidR="00C440A2" w:rsidRPr="00FF4031" w:rsidRDefault="007011A3" w:rsidP="00FF4031">
      <w:pPr>
        <w:numPr>
          <w:ilvl w:val="0"/>
          <w:numId w:val="14"/>
        </w:numPr>
        <w:spacing w:after="120"/>
        <w:rPr>
          <w:color w:val="365F91" w:themeColor="accent1" w:themeShade="BF"/>
        </w:rPr>
      </w:pPr>
      <w:r w:rsidRPr="00FF4031">
        <w:rPr>
          <w:b/>
        </w:rPr>
        <w:t>In addition to new hires made by the school employer, do th</w:t>
      </w:r>
      <w:r w:rsidR="00B60EF5" w:rsidRPr="00FF4031">
        <w:rPr>
          <w:b/>
        </w:rPr>
        <w:t xml:space="preserve">e </w:t>
      </w:r>
      <w:r w:rsidRPr="00FF4031">
        <w:rPr>
          <w:b/>
        </w:rPr>
        <w:t xml:space="preserve">ECH </w:t>
      </w:r>
      <w:r w:rsidR="00B60EF5" w:rsidRPr="00FF4031">
        <w:rPr>
          <w:b/>
        </w:rPr>
        <w:t>and the ECPI check requirement</w:t>
      </w:r>
      <w:r w:rsidR="00C440A2" w:rsidRPr="00FF4031">
        <w:rPr>
          <w:b/>
        </w:rPr>
        <w:t>s</w:t>
      </w:r>
      <w:r w:rsidR="00B60EF5" w:rsidRPr="00FF4031">
        <w:rPr>
          <w:b/>
        </w:rPr>
        <w:t xml:space="preserve"> </w:t>
      </w:r>
      <w:r w:rsidRPr="00FF4031">
        <w:rPr>
          <w:b/>
        </w:rPr>
        <w:t>apply to other entities?</w:t>
      </w:r>
      <w:r w:rsidRPr="00FF4031">
        <w:t xml:space="preserve"> </w:t>
      </w:r>
      <w:r w:rsidR="00B60EF5" w:rsidRPr="00FF4031">
        <w:rPr>
          <w:color w:val="365F91" w:themeColor="accent1" w:themeShade="BF"/>
        </w:rPr>
        <w:t xml:space="preserve">Changes to IC </w:t>
      </w:r>
      <w:r w:rsidRPr="00FF4031">
        <w:rPr>
          <w:color w:val="365F91" w:themeColor="accent1" w:themeShade="BF"/>
        </w:rPr>
        <w:t>20-26-5-10(</w:t>
      </w:r>
      <w:r w:rsidR="00B60EF5" w:rsidRPr="00FF4031">
        <w:rPr>
          <w:color w:val="365F91" w:themeColor="accent1" w:themeShade="BF"/>
        </w:rPr>
        <w:t>b</w:t>
      </w:r>
      <w:r w:rsidRPr="00FF4031">
        <w:rPr>
          <w:color w:val="365F91" w:themeColor="accent1" w:themeShade="BF"/>
        </w:rPr>
        <w:t>)  require that a school corporation, a charter school and a</w:t>
      </w:r>
      <w:r w:rsidR="00B60EF5" w:rsidRPr="00FF4031">
        <w:rPr>
          <w:color w:val="365F91" w:themeColor="accent1" w:themeShade="BF"/>
        </w:rPr>
        <w:t xml:space="preserve"> </w:t>
      </w:r>
      <w:r w:rsidRPr="00FF4031">
        <w:rPr>
          <w:color w:val="365F91" w:themeColor="accent1" w:themeShade="BF"/>
        </w:rPr>
        <w:t>nonpublic school</w:t>
      </w:r>
      <w:r w:rsidR="00B60EF5" w:rsidRPr="00FF4031">
        <w:rPr>
          <w:color w:val="365F91" w:themeColor="accent1" w:themeShade="BF"/>
        </w:rPr>
        <w:t xml:space="preserve"> that employs more than one (1) employee</w:t>
      </w:r>
      <w:r w:rsidRPr="00FF4031">
        <w:rPr>
          <w:color w:val="365F91" w:themeColor="accent1" w:themeShade="BF"/>
        </w:rPr>
        <w:t>, shall ad</w:t>
      </w:r>
      <w:r w:rsidR="0069750B" w:rsidRPr="00FF4031">
        <w:rPr>
          <w:color w:val="365F91" w:themeColor="accent1" w:themeShade="BF"/>
        </w:rPr>
        <w:t xml:space="preserve">minister </w:t>
      </w:r>
      <w:r w:rsidRPr="00FF4031">
        <w:rPr>
          <w:color w:val="365F91" w:themeColor="accent1" w:themeShade="BF"/>
        </w:rPr>
        <w:t xml:space="preserve">a policy </w:t>
      </w:r>
      <w:r w:rsidR="0069750B" w:rsidRPr="00FF4031">
        <w:rPr>
          <w:color w:val="365F91" w:themeColor="accent1" w:themeShade="BF"/>
        </w:rPr>
        <w:t xml:space="preserve">to conduct an expanded criminal history check and </w:t>
      </w:r>
      <w:r w:rsidR="00B60EF5" w:rsidRPr="00FF4031">
        <w:rPr>
          <w:color w:val="365F91" w:themeColor="accent1" w:themeShade="BF"/>
        </w:rPr>
        <w:t xml:space="preserve">an </w:t>
      </w:r>
      <w:r w:rsidR="0069750B" w:rsidRPr="00FF4031">
        <w:rPr>
          <w:color w:val="365F91" w:themeColor="accent1" w:themeShade="BF"/>
        </w:rPr>
        <w:t xml:space="preserve">expanded child protection index check </w:t>
      </w:r>
      <w:r w:rsidRPr="00FF4031">
        <w:rPr>
          <w:color w:val="365F91" w:themeColor="accent1" w:themeShade="BF"/>
        </w:rPr>
        <w:t xml:space="preserve">for individuals who:  </w:t>
      </w:r>
    </w:p>
    <w:p w:rsidR="007011A3" w:rsidRPr="00FF4031" w:rsidRDefault="007011A3" w:rsidP="00FF4031">
      <w:pPr>
        <w:numPr>
          <w:ilvl w:val="0"/>
          <w:numId w:val="17"/>
        </w:numPr>
        <w:spacing w:after="120"/>
        <w:rPr>
          <w:color w:val="365F91" w:themeColor="accent1" w:themeShade="BF"/>
        </w:rPr>
      </w:pPr>
      <w:r w:rsidRPr="00FF4031">
        <w:rPr>
          <w:color w:val="365F91" w:themeColor="accent1" w:themeShade="BF"/>
        </w:rPr>
        <w:t>apply for employment with the school corporation</w:t>
      </w:r>
      <w:r w:rsidR="00C440A2" w:rsidRPr="00FF4031">
        <w:rPr>
          <w:color w:val="365F91" w:themeColor="accent1" w:themeShade="BF"/>
        </w:rPr>
        <w:t>, charter school or nonpublic school</w:t>
      </w:r>
      <w:r w:rsidRPr="00FF4031">
        <w:rPr>
          <w:color w:val="365F91" w:themeColor="accent1" w:themeShade="BF"/>
        </w:rPr>
        <w:t>;  or apply for employment with an entity with which the school corporation contracts for services;  or</w:t>
      </w:r>
    </w:p>
    <w:p w:rsidR="007011A3" w:rsidRPr="00FF4031" w:rsidRDefault="007011A3" w:rsidP="00FF4031">
      <w:pPr>
        <w:numPr>
          <w:ilvl w:val="0"/>
          <w:numId w:val="17"/>
        </w:numPr>
        <w:spacing w:after="120"/>
        <w:rPr>
          <w:color w:val="365F91" w:themeColor="accent1" w:themeShade="BF"/>
        </w:rPr>
      </w:pPr>
      <w:proofErr w:type="gramStart"/>
      <w:r w:rsidRPr="00FF4031">
        <w:rPr>
          <w:color w:val="365F91" w:themeColor="accent1" w:themeShade="BF"/>
        </w:rPr>
        <w:lastRenderedPageBreak/>
        <w:t>seek</w:t>
      </w:r>
      <w:proofErr w:type="gramEnd"/>
      <w:r w:rsidRPr="00FF4031">
        <w:rPr>
          <w:color w:val="365F91" w:themeColor="accent1" w:themeShade="BF"/>
        </w:rPr>
        <w:t xml:space="preserve"> to enter into a contract to provide services to the school corporation or are employed by an entity that seeks to enter into a contract to provide services to the school corporation, if the individuals are likely to have direct, ongoing contact with children within the scope of their employment. </w:t>
      </w:r>
    </w:p>
    <w:p w:rsidR="0069750B" w:rsidRPr="00FF4031" w:rsidRDefault="0069750B" w:rsidP="00FF4031">
      <w:pPr>
        <w:numPr>
          <w:ilvl w:val="0"/>
          <w:numId w:val="14"/>
        </w:numPr>
        <w:rPr>
          <w:color w:val="365F91" w:themeColor="accent1" w:themeShade="BF"/>
        </w:rPr>
      </w:pPr>
      <w:r w:rsidRPr="00FF4031">
        <w:rPr>
          <w:b/>
        </w:rPr>
        <w:t>When must the ECH and ECPI checks be conducted?</w:t>
      </w:r>
      <w:r w:rsidRPr="00FF4031">
        <w:t xml:space="preserve">  </w:t>
      </w:r>
      <w:r w:rsidR="007011A3" w:rsidRPr="00FF4031">
        <w:rPr>
          <w:color w:val="365F91" w:themeColor="accent1" w:themeShade="BF"/>
        </w:rPr>
        <w:t>IC 20-26-5-10(</w:t>
      </w:r>
      <w:r w:rsidR="00C440A2" w:rsidRPr="00FF4031">
        <w:rPr>
          <w:color w:val="365F91" w:themeColor="accent1" w:themeShade="BF"/>
        </w:rPr>
        <w:t>c</w:t>
      </w:r>
      <w:r w:rsidR="007011A3" w:rsidRPr="00FF4031">
        <w:rPr>
          <w:color w:val="365F91" w:themeColor="accent1" w:themeShade="BF"/>
        </w:rPr>
        <w:t>) specif</w:t>
      </w:r>
      <w:r w:rsidRPr="00FF4031">
        <w:rPr>
          <w:color w:val="365F91" w:themeColor="accent1" w:themeShade="BF"/>
        </w:rPr>
        <w:t xml:space="preserve">ies that the ECH and ECPI checks must be conducted before or not later than three (3) months after the applicant’s employment by the school corporation or school.  </w:t>
      </w:r>
    </w:p>
    <w:p w:rsidR="00024209" w:rsidRPr="00FF4031" w:rsidRDefault="00024209" w:rsidP="00FF4031">
      <w:pPr>
        <w:numPr>
          <w:ilvl w:val="0"/>
          <w:numId w:val="14"/>
        </w:numPr>
        <w:rPr>
          <w:color w:val="365F91" w:themeColor="accent1" w:themeShade="BF"/>
        </w:rPr>
      </w:pPr>
      <w:r w:rsidRPr="00FF4031">
        <w:rPr>
          <w:b/>
        </w:rPr>
        <w:t xml:space="preserve">What should </w:t>
      </w:r>
      <w:r w:rsidR="007011A3" w:rsidRPr="00FF4031">
        <w:rPr>
          <w:b/>
        </w:rPr>
        <w:t xml:space="preserve">a school employer </w:t>
      </w:r>
      <w:r w:rsidRPr="00FF4031">
        <w:rPr>
          <w:b/>
        </w:rPr>
        <w:t>do if an ECH check discloses an arrest and/or conviction?</w:t>
      </w:r>
      <w:r w:rsidRPr="00FF4031">
        <w:t xml:space="preserve">  </w:t>
      </w:r>
      <w:r w:rsidR="007011A3" w:rsidRPr="00FF4031">
        <w:rPr>
          <w:color w:val="365F91" w:themeColor="accent1" w:themeShade="BF"/>
        </w:rPr>
        <w:t xml:space="preserve">The school administration </w:t>
      </w:r>
      <w:r w:rsidRPr="00FF4031">
        <w:rPr>
          <w:color w:val="365F91" w:themeColor="accent1" w:themeShade="BF"/>
        </w:rPr>
        <w:t xml:space="preserve">should follow </w:t>
      </w:r>
      <w:r w:rsidR="007011A3" w:rsidRPr="00FF4031">
        <w:rPr>
          <w:color w:val="365F91" w:themeColor="accent1" w:themeShade="BF"/>
        </w:rPr>
        <w:t xml:space="preserve">the district or school’s </w:t>
      </w:r>
      <w:r w:rsidRPr="00FF4031">
        <w:rPr>
          <w:color w:val="365F91" w:themeColor="accent1" w:themeShade="BF"/>
        </w:rPr>
        <w:t xml:space="preserve">local policy concerning what kinds of incidents and/or convictions disqualify an applicant from employment. </w:t>
      </w:r>
      <w:r w:rsidR="00AE716B" w:rsidRPr="00FF4031">
        <w:rPr>
          <w:color w:val="365F91" w:themeColor="accent1" w:themeShade="BF"/>
        </w:rPr>
        <w:t>In addition,</w:t>
      </w:r>
      <w:r w:rsidR="00DD2C39" w:rsidRPr="00FF4031">
        <w:rPr>
          <w:color w:val="365F91" w:themeColor="accent1" w:themeShade="BF"/>
        </w:rPr>
        <w:t xml:space="preserve"> </w:t>
      </w:r>
      <w:r w:rsidR="007011A3" w:rsidRPr="00FF4031">
        <w:rPr>
          <w:color w:val="365F91" w:themeColor="accent1" w:themeShade="BF"/>
        </w:rPr>
        <w:t xml:space="preserve">administrators </w:t>
      </w:r>
      <w:r w:rsidR="00DD2C39" w:rsidRPr="00FF4031">
        <w:rPr>
          <w:color w:val="365F91" w:themeColor="accent1" w:themeShade="BF"/>
        </w:rPr>
        <w:t xml:space="preserve">are encouraged to contact the Department of Education’s Office of Legal Affairs </w:t>
      </w:r>
      <w:r w:rsidRPr="00FF4031">
        <w:rPr>
          <w:color w:val="365F91" w:themeColor="accent1" w:themeShade="BF"/>
        </w:rPr>
        <w:t xml:space="preserve">if you believe that an incident reported on an expanded criminal history check is grounds for revocation or suspension of a license, or is evidence of </w:t>
      </w:r>
      <w:r w:rsidR="00AE716B" w:rsidRPr="00FF4031">
        <w:rPr>
          <w:color w:val="365F91" w:themeColor="accent1" w:themeShade="BF"/>
        </w:rPr>
        <w:t xml:space="preserve">immorality, misconduct in office, incompetency, or willful neglect of duty so </w:t>
      </w:r>
      <w:r w:rsidR="008E0AA4" w:rsidRPr="00FF4031">
        <w:rPr>
          <w:color w:val="365F91" w:themeColor="accent1" w:themeShade="BF"/>
        </w:rPr>
        <w:t xml:space="preserve">the DOE </w:t>
      </w:r>
      <w:r w:rsidR="00AE716B" w:rsidRPr="00FF4031">
        <w:rPr>
          <w:color w:val="365F91" w:themeColor="accent1" w:themeShade="BF"/>
        </w:rPr>
        <w:t xml:space="preserve">may undertake further investigation. </w:t>
      </w:r>
    </w:p>
    <w:p w:rsidR="00F16803" w:rsidRPr="00FF4031" w:rsidRDefault="00C440A2" w:rsidP="00FF4031">
      <w:pPr>
        <w:numPr>
          <w:ilvl w:val="0"/>
          <w:numId w:val="14"/>
        </w:numPr>
        <w:rPr>
          <w:color w:val="365F91" w:themeColor="accent1" w:themeShade="BF"/>
        </w:rPr>
      </w:pPr>
      <w:r w:rsidRPr="00FF4031">
        <w:rPr>
          <w:b/>
        </w:rPr>
        <w:t xml:space="preserve">What should a school employer do if an ECPI check discloses </w:t>
      </w:r>
      <w:r w:rsidR="00F16803" w:rsidRPr="00FF4031">
        <w:rPr>
          <w:b/>
        </w:rPr>
        <w:t>that the individual has been the subject of a substantiated report of child abuse or neglect?</w:t>
      </w:r>
      <w:r w:rsidR="00F16803" w:rsidRPr="00FF4031">
        <w:t xml:space="preserve"> </w:t>
      </w:r>
      <w:r w:rsidR="00CD03A9" w:rsidRPr="00FF4031">
        <w:rPr>
          <w:color w:val="365F91" w:themeColor="accent1" w:themeShade="BF"/>
        </w:rPr>
        <w:t xml:space="preserve">The school administration should follow the district or school’s local policy concerning what constitutes disqualification for employment. </w:t>
      </w:r>
      <w:r w:rsidR="00F16803" w:rsidRPr="00FF4031">
        <w:rPr>
          <w:color w:val="365F91" w:themeColor="accent1" w:themeShade="BF"/>
        </w:rPr>
        <w:t xml:space="preserve">IC 20-26-5-11(d) provides that a school employer or entity (see #12 above) may use information obtained through an ECPI check concerning an individual being the subject of a substantiated report of child abuse or neglect as grounds not to employ or contract with the individual. </w:t>
      </w:r>
    </w:p>
    <w:p w:rsidR="008E0AA4" w:rsidRPr="00FF4031" w:rsidRDefault="00D30FE5" w:rsidP="00FF4031">
      <w:pPr>
        <w:numPr>
          <w:ilvl w:val="0"/>
          <w:numId w:val="14"/>
        </w:numPr>
        <w:rPr>
          <w:color w:val="365F91" w:themeColor="accent1" w:themeShade="BF"/>
        </w:rPr>
      </w:pPr>
      <w:r>
        <w:rPr>
          <w:b/>
        </w:rPr>
        <w:t>If there is a cost to the ECH or ECPI who is responsible</w:t>
      </w:r>
      <w:r w:rsidR="00396135" w:rsidRPr="00FF4031">
        <w:rPr>
          <w:b/>
        </w:rPr>
        <w:t>?</w:t>
      </w:r>
      <w:r w:rsidR="00396135" w:rsidRPr="00FF4031">
        <w:t xml:space="preserve"> </w:t>
      </w:r>
      <w:r w:rsidR="00396135" w:rsidRPr="00FF4031">
        <w:rPr>
          <w:color w:val="365F91" w:themeColor="accent1" w:themeShade="BF"/>
        </w:rPr>
        <w:t>The law states “the applicant is responsible for all costs associated with obtaining the expanded criminal history check</w:t>
      </w:r>
      <w:r w:rsidR="0069750B" w:rsidRPr="00FF4031">
        <w:rPr>
          <w:color w:val="365F91" w:themeColor="accent1" w:themeShade="BF"/>
        </w:rPr>
        <w:t xml:space="preserve"> and the expanded child protection index check</w:t>
      </w:r>
      <w:r w:rsidR="00396135" w:rsidRPr="00FF4031">
        <w:rPr>
          <w:color w:val="365F91" w:themeColor="accent1" w:themeShade="BF"/>
        </w:rPr>
        <w:t xml:space="preserve">. An applicant may not be required by a school corporation, charter school, or nonpublic school to obtain an expanded criminal history check </w:t>
      </w:r>
      <w:r w:rsidR="00C440A2" w:rsidRPr="00FF4031">
        <w:rPr>
          <w:color w:val="365F91" w:themeColor="accent1" w:themeShade="BF"/>
        </w:rPr>
        <w:t xml:space="preserve">or an expanded child protection index check </w:t>
      </w:r>
      <w:r w:rsidR="00396135" w:rsidRPr="00FF4031">
        <w:rPr>
          <w:color w:val="365F91" w:themeColor="accent1" w:themeShade="BF"/>
        </w:rPr>
        <w:t>more than one (1) time during a five (5) year period.” IC 20-26-5-10(</w:t>
      </w:r>
      <w:r w:rsidR="00C440A2" w:rsidRPr="00FF4031">
        <w:rPr>
          <w:color w:val="365F91" w:themeColor="accent1" w:themeShade="BF"/>
        </w:rPr>
        <w:t>c</w:t>
      </w:r>
      <w:r w:rsidR="00396135" w:rsidRPr="00FF4031">
        <w:rPr>
          <w:color w:val="365F91" w:themeColor="accent1" w:themeShade="BF"/>
        </w:rPr>
        <w:t>).</w:t>
      </w:r>
    </w:p>
    <w:p w:rsidR="006B2DB2" w:rsidRPr="00FF4031" w:rsidRDefault="006B2DB2" w:rsidP="00FF4031">
      <w:pPr>
        <w:numPr>
          <w:ilvl w:val="0"/>
          <w:numId w:val="14"/>
        </w:numPr>
        <w:rPr>
          <w:color w:val="365F91" w:themeColor="accent1" w:themeShade="BF"/>
        </w:rPr>
      </w:pPr>
      <w:r w:rsidRPr="00FF4031">
        <w:rPr>
          <w:b/>
        </w:rPr>
        <w:t xml:space="preserve">An applicant may not be required to obtain an ECH </w:t>
      </w:r>
      <w:r w:rsidR="00D35A0B" w:rsidRPr="00FF4031">
        <w:rPr>
          <w:b/>
        </w:rPr>
        <w:t xml:space="preserve">or ECPI </w:t>
      </w:r>
      <w:r w:rsidRPr="00FF4031">
        <w:rPr>
          <w:b/>
        </w:rPr>
        <w:t xml:space="preserve">check more than one (1) time during a five (5) year period, but can the school employer obtain a limited criminal history and/or an ECH check </w:t>
      </w:r>
      <w:r w:rsidR="00D35A0B" w:rsidRPr="00FF4031">
        <w:rPr>
          <w:b/>
        </w:rPr>
        <w:t xml:space="preserve">and an ECPI check </w:t>
      </w:r>
      <w:r w:rsidRPr="00FF4031">
        <w:rPr>
          <w:b/>
        </w:rPr>
        <w:t>during the intervening 4 years?</w:t>
      </w:r>
      <w:r w:rsidRPr="00FF4031">
        <w:t xml:space="preserve">  </w:t>
      </w:r>
      <w:r w:rsidRPr="00FF4031">
        <w:rPr>
          <w:color w:val="365F91" w:themeColor="accent1" w:themeShade="BF"/>
        </w:rPr>
        <w:t>Yes. There is no prohibition against the school employer obtaining</w:t>
      </w:r>
      <w:r w:rsidR="0035744D" w:rsidRPr="00FF4031">
        <w:rPr>
          <w:color w:val="365F91" w:themeColor="accent1" w:themeShade="BF"/>
        </w:rPr>
        <w:t>,</w:t>
      </w:r>
      <w:r w:rsidRPr="00FF4031">
        <w:rPr>
          <w:color w:val="365F91" w:themeColor="accent1" w:themeShade="BF"/>
        </w:rPr>
        <w:t xml:space="preserve"> or requiring an applicant to obtain</w:t>
      </w:r>
      <w:r w:rsidR="0035744D" w:rsidRPr="00FF4031">
        <w:rPr>
          <w:color w:val="365F91" w:themeColor="accent1" w:themeShade="BF"/>
        </w:rPr>
        <w:t>,</w:t>
      </w:r>
      <w:r w:rsidRPr="00FF4031">
        <w:rPr>
          <w:color w:val="365F91" w:themeColor="accent1" w:themeShade="BF"/>
        </w:rPr>
        <w:t xml:space="preserve"> a limited criminal history at any time.  Further, a school employer may obtain an ECH check </w:t>
      </w:r>
      <w:r w:rsidR="00D35A0B" w:rsidRPr="00FF4031">
        <w:rPr>
          <w:color w:val="365F91" w:themeColor="accent1" w:themeShade="BF"/>
        </w:rPr>
        <w:t xml:space="preserve">or an ECPI check </w:t>
      </w:r>
      <w:r w:rsidR="0023254B" w:rsidRPr="00FF4031">
        <w:rPr>
          <w:color w:val="365F91" w:themeColor="accent1" w:themeShade="BF"/>
        </w:rPr>
        <w:t xml:space="preserve">on an applicant </w:t>
      </w:r>
      <w:r w:rsidRPr="00FF4031">
        <w:rPr>
          <w:color w:val="365F91" w:themeColor="accent1" w:themeShade="BF"/>
        </w:rPr>
        <w:t>through a vendor at any time</w:t>
      </w:r>
      <w:r w:rsidR="0023254B" w:rsidRPr="00FF4031">
        <w:rPr>
          <w:color w:val="365F91" w:themeColor="accent1" w:themeShade="BF"/>
        </w:rPr>
        <w:t xml:space="preserve"> as long as the ECH </w:t>
      </w:r>
      <w:r w:rsidR="00D35A0B" w:rsidRPr="00FF4031">
        <w:rPr>
          <w:color w:val="365F91" w:themeColor="accent1" w:themeShade="BF"/>
        </w:rPr>
        <w:t xml:space="preserve">and ECPI checks </w:t>
      </w:r>
      <w:r w:rsidR="0023254B" w:rsidRPr="00FF4031">
        <w:rPr>
          <w:color w:val="365F91" w:themeColor="accent1" w:themeShade="BF"/>
        </w:rPr>
        <w:t>can be completed without effort or cost by the applicant, unless five (5) years have passed since the applicant’s previous ECH</w:t>
      </w:r>
      <w:r w:rsidR="00D35A0B" w:rsidRPr="00FF4031">
        <w:rPr>
          <w:color w:val="365F91" w:themeColor="accent1" w:themeShade="BF"/>
        </w:rPr>
        <w:t xml:space="preserve"> and ECPI check</w:t>
      </w:r>
      <w:r w:rsidR="0023254B" w:rsidRPr="00FF4031">
        <w:rPr>
          <w:color w:val="365F91" w:themeColor="accent1" w:themeShade="BF"/>
        </w:rPr>
        <w:t>.  If five (5) years have passed since the applicant’s previous ECH</w:t>
      </w:r>
      <w:r w:rsidR="00D35A0B" w:rsidRPr="00FF4031">
        <w:rPr>
          <w:color w:val="365F91" w:themeColor="accent1" w:themeShade="BF"/>
        </w:rPr>
        <w:t xml:space="preserve"> or ECPI check</w:t>
      </w:r>
      <w:r w:rsidR="0023254B" w:rsidRPr="00FF4031">
        <w:rPr>
          <w:color w:val="365F91" w:themeColor="accent1" w:themeShade="BF"/>
        </w:rPr>
        <w:t>, then the applicant can be required to obt</w:t>
      </w:r>
      <w:r w:rsidR="00D35A0B" w:rsidRPr="00FF4031">
        <w:rPr>
          <w:color w:val="365F91" w:themeColor="accent1" w:themeShade="BF"/>
        </w:rPr>
        <w:t>ain and pay for an updated ECH and ECPI check.</w:t>
      </w:r>
    </w:p>
    <w:p w:rsidR="0023254B" w:rsidRPr="00FF4031" w:rsidRDefault="0023254B" w:rsidP="00FF4031">
      <w:pPr>
        <w:numPr>
          <w:ilvl w:val="0"/>
          <w:numId w:val="14"/>
        </w:numPr>
        <w:rPr>
          <w:color w:val="365F91" w:themeColor="accent1" w:themeShade="BF"/>
        </w:rPr>
      </w:pPr>
      <w:r w:rsidRPr="00FF4031">
        <w:rPr>
          <w:b/>
        </w:rPr>
        <w:t xml:space="preserve">Does </w:t>
      </w:r>
      <w:r w:rsidR="00D35A0B" w:rsidRPr="00FF4031">
        <w:rPr>
          <w:b/>
        </w:rPr>
        <w:t xml:space="preserve">conducting </w:t>
      </w:r>
      <w:r w:rsidRPr="00FF4031">
        <w:rPr>
          <w:b/>
        </w:rPr>
        <w:t xml:space="preserve">the ECH </w:t>
      </w:r>
      <w:r w:rsidR="00D35A0B" w:rsidRPr="00FF4031">
        <w:rPr>
          <w:b/>
        </w:rPr>
        <w:t xml:space="preserve">and the ECPI checks </w:t>
      </w:r>
      <w:r w:rsidRPr="00FF4031">
        <w:rPr>
          <w:b/>
        </w:rPr>
        <w:t>take the place of checking references prior to employment?</w:t>
      </w:r>
      <w:r w:rsidRPr="00FF4031">
        <w:t xml:space="preserve">  </w:t>
      </w:r>
      <w:r w:rsidRPr="00FF4031">
        <w:rPr>
          <w:color w:val="365F91" w:themeColor="accent1" w:themeShade="BF"/>
        </w:rPr>
        <w:t xml:space="preserve">No. </w:t>
      </w:r>
      <w:r w:rsidR="00024209" w:rsidRPr="00FF4031">
        <w:rPr>
          <w:color w:val="365F91" w:themeColor="accent1" w:themeShade="BF"/>
        </w:rPr>
        <w:t>T</w:t>
      </w:r>
      <w:r w:rsidRPr="00FF4031">
        <w:rPr>
          <w:color w:val="365F91" w:themeColor="accent1" w:themeShade="BF"/>
        </w:rPr>
        <w:t xml:space="preserve">he ECH </w:t>
      </w:r>
      <w:r w:rsidR="00D35A0B" w:rsidRPr="00FF4031">
        <w:rPr>
          <w:color w:val="365F91" w:themeColor="accent1" w:themeShade="BF"/>
        </w:rPr>
        <w:t xml:space="preserve">and ECPI checks </w:t>
      </w:r>
      <w:r w:rsidR="00024209" w:rsidRPr="00FF4031">
        <w:rPr>
          <w:color w:val="365F91" w:themeColor="accent1" w:themeShade="BF"/>
        </w:rPr>
        <w:t xml:space="preserve">should only be </w:t>
      </w:r>
      <w:r w:rsidR="00D35A0B" w:rsidRPr="00FF4031">
        <w:rPr>
          <w:color w:val="365F91" w:themeColor="accent1" w:themeShade="BF"/>
        </w:rPr>
        <w:t xml:space="preserve">two </w:t>
      </w:r>
      <w:r w:rsidRPr="00FF4031">
        <w:rPr>
          <w:color w:val="365F91" w:themeColor="accent1" w:themeShade="BF"/>
        </w:rPr>
        <w:t>element</w:t>
      </w:r>
      <w:r w:rsidR="00D35A0B" w:rsidRPr="00FF4031">
        <w:rPr>
          <w:color w:val="365F91" w:themeColor="accent1" w:themeShade="BF"/>
        </w:rPr>
        <w:t>s</w:t>
      </w:r>
      <w:r w:rsidRPr="00FF4031">
        <w:rPr>
          <w:color w:val="365F91" w:themeColor="accent1" w:themeShade="BF"/>
        </w:rPr>
        <w:t xml:space="preserve"> of </w:t>
      </w:r>
      <w:r w:rsidR="00024209" w:rsidRPr="00FF4031">
        <w:rPr>
          <w:color w:val="365F91" w:themeColor="accent1" w:themeShade="BF"/>
        </w:rPr>
        <w:t xml:space="preserve">your </w:t>
      </w:r>
      <w:r w:rsidRPr="00FF4031">
        <w:rPr>
          <w:color w:val="365F91" w:themeColor="accent1" w:themeShade="BF"/>
        </w:rPr>
        <w:t xml:space="preserve">pre-employment </w:t>
      </w:r>
      <w:r w:rsidR="00D35A0B" w:rsidRPr="00FF4031">
        <w:rPr>
          <w:color w:val="365F91" w:themeColor="accent1" w:themeShade="BF"/>
        </w:rPr>
        <w:t xml:space="preserve">process. </w:t>
      </w:r>
      <w:r w:rsidR="00024209" w:rsidRPr="00FF4031">
        <w:rPr>
          <w:color w:val="365F91" w:themeColor="accent1" w:themeShade="BF"/>
        </w:rPr>
        <w:t xml:space="preserve">You should still check an applicant’s references and speak with former employers in the course of exercising due diligence. </w:t>
      </w:r>
      <w:r w:rsidRPr="00FF4031">
        <w:rPr>
          <w:color w:val="365F91" w:themeColor="accent1" w:themeShade="BF"/>
        </w:rPr>
        <w:t xml:space="preserve"> </w:t>
      </w:r>
    </w:p>
    <w:p w:rsidR="00475B54" w:rsidRPr="007725E2" w:rsidRDefault="00CE1781" w:rsidP="00FF4031">
      <w:pPr>
        <w:numPr>
          <w:ilvl w:val="0"/>
          <w:numId w:val="14"/>
        </w:numPr>
        <w:rPr>
          <w:color w:val="365F91" w:themeColor="accent1" w:themeShade="BF"/>
        </w:rPr>
      </w:pPr>
      <w:r w:rsidRPr="007725E2">
        <w:rPr>
          <w:b/>
        </w:rPr>
        <w:lastRenderedPageBreak/>
        <w:t>Does th</w:t>
      </w:r>
      <w:r w:rsidR="00EF7B63" w:rsidRPr="007725E2">
        <w:rPr>
          <w:b/>
        </w:rPr>
        <w:t xml:space="preserve">e ECH </w:t>
      </w:r>
      <w:r w:rsidR="00D35A0B" w:rsidRPr="007725E2">
        <w:rPr>
          <w:b/>
        </w:rPr>
        <w:t xml:space="preserve">and ECPI check </w:t>
      </w:r>
      <w:r w:rsidR="00EF7B63" w:rsidRPr="007725E2">
        <w:rPr>
          <w:b/>
        </w:rPr>
        <w:t xml:space="preserve">requirement </w:t>
      </w:r>
      <w:r w:rsidRPr="007725E2">
        <w:rPr>
          <w:b/>
        </w:rPr>
        <w:t>apply to substitute teachers, teachers on temporary c</w:t>
      </w:r>
      <w:r w:rsidR="00EF7B63" w:rsidRPr="007725E2">
        <w:rPr>
          <w:b/>
        </w:rPr>
        <w:t xml:space="preserve">ontracts, food service workers, </w:t>
      </w:r>
      <w:r w:rsidR="00B6000A" w:rsidRPr="007725E2">
        <w:rPr>
          <w:b/>
        </w:rPr>
        <w:t xml:space="preserve">office staff, </w:t>
      </w:r>
      <w:r w:rsidR="00EF7B63" w:rsidRPr="007725E2">
        <w:rPr>
          <w:b/>
        </w:rPr>
        <w:t xml:space="preserve">janitorial and maintenance staff, </w:t>
      </w:r>
      <w:proofErr w:type="spellStart"/>
      <w:r w:rsidRPr="007725E2">
        <w:rPr>
          <w:b/>
        </w:rPr>
        <w:t>etc</w:t>
      </w:r>
      <w:proofErr w:type="spellEnd"/>
      <w:r w:rsidRPr="007725E2">
        <w:rPr>
          <w:b/>
        </w:rPr>
        <w:t>?</w:t>
      </w:r>
      <w:r w:rsidRPr="00FF4031">
        <w:t xml:space="preserve"> </w:t>
      </w:r>
      <w:r w:rsidR="00EF7B63" w:rsidRPr="00FF4031">
        <w:t xml:space="preserve"> </w:t>
      </w:r>
      <w:r w:rsidR="00EF7B63" w:rsidRPr="007725E2">
        <w:rPr>
          <w:color w:val="365F91" w:themeColor="accent1" w:themeShade="BF"/>
        </w:rPr>
        <w:t xml:space="preserve">The requirement applies to all new hires “who are likely to have direct, ongoing contact with children within the scope of their employment,” regardless of whether the individuals are certified or noncertified. </w:t>
      </w:r>
    </w:p>
    <w:p w:rsidR="00475B54" w:rsidRPr="00FF4031" w:rsidRDefault="00475B54" w:rsidP="00FF4031"/>
    <w:p w:rsidR="00D17E39" w:rsidRPr="00FF4031" w:rsidRDefault="008E0AA4" w:rsidP="00FF4031">
      <w:pPr>
        <w:numPr>
          <w:ilvl w:val="0"/>
          <w:numId w:val="14"/>
        </w:numPr>
      </w:pPr>
      <w:r w:rsidRPr="007725E2">
        <w:rPr>
          <w:b/>
        </w:rPr>
        <w:t xml:space="preserve">Is a </w:t>
      </w:r>
      <w:r w:rsidR="00CE1781" w:rsidRPr="007725E2">
        <w:rPr>
          <w:b/>
        </w:rPr>
        <w:t xml:space="preserve">teacher still required to submit an LCH to </w:t>
      </w:r>
      <w:r w:rsidR="00EF7B63" w:rsidRPr="007725E2">
        <w:rPr>
          <w:b/>
        </w:rPr>
        <w:t xml:space="preserve">obtain an initial license or to </w:t>
      </w:r>
      <w:r w:rsidR="00CE1781" w:rsidRPr="007725E2">
        <w:rPr>
          <w:b/>
        </w:rPr>
        <w:t xml:space="preserve">renew </w:t>
      </w:r>
      <w:r w:rsidR="0035744D" w:rsidRPr="007725E2">
        <w:rPr>
          <w:b/>
        </w:rPr>
        <w:t xml:space="preserve">or professionalize </w:t>
      </w:r>
      <w:r w:rsidR="00EF7B63" w:rsidRPr="007725E2">
        <w:rPr>
          <w:b/>
        </w:rPr>
        <w:t xml:space="preserve">a </w:t>
      </w:r>
      <w:r w:rsidR="00CE1781" w:rsidRPr="007725E2">
        <w:rPr>
          <w:b/>
        </w:rPr>
        <w:t>license?</w:t>
      </w:r>
      <w:r w:rsidR="00CE1781" w:rsidRPr="00FF4031">
        <w:t xml:space="preserve"> </w:t>
      </w:r>
      <w:r w:rsidR="00EF7B63" w:rsidRPr="00FF4031">
        <w:t xml:space="preserve"> </w:t>
      </w:r>
      <w:r w:rsidR="00EF7B63" w:rsidRPr="007725E2">
        <w:rPr>
          <w:color w:val="365F91" w:themeColor="accent1" w:themeShade="BF"/>
        </w:rPr>
        <w:t>No</w:t>
      </w:r>
      <w:r w:rsidRPr="007725E2">
        <w:rPr>
          <w:color w:val="365F91" w:themeColor="accent1" w:themeShade="BF"/>
        </w:rPr>
        <w:t xml:space="preserve">, not since </w:t>
      </w:r>
      <w:r w:rsidR="00EF7B63" w:rsidRPr="007725E2">
        <w:rPr>
          <w:color w:val="365F91" w:themeColor="accent1" w:themeShade="BF"/>
        </w:rPr>
        <w:t>July 1, 2009.</w:t>
      </w:r>
      <w:r w:rsidR="00EF7B63" w:rsidRPr="00FF4031">
        <w:t xml:space="preserve"> </w:t>
      </w:r>
    </w:p>
    <w:p w:rsidR="00A91833" w:rsidRPr="007725E2" w:rsidRDefault="00D17E39" w:rsidP="00FF4031">
      <w:pPr>
        <w:numPr>
          <w:ilvl w:val="0"/>
          <w:numId w:val="14"/>
        </w:numPr>
        <w:rPr>
          <w:color w:val="365F91" w:themeColor="accent1" w:themeShade="BF"/>
        </w:rPr>
      </w:pPr>
      <w:r w:rsidRPr="007725E2">
        <w:rPr>
          <w:b/>
        </w:rPr>
        <w:t>H</w:t>
      </w:r>
      <w:r w:rsidR="005B7250" w:rsidRPr="007725E2">
        <w:rPr>
          <w:b/>
        </w:rPr>
        <w:t xml:space="preserve">ow does the ECH and ECPI check </w:t>
      </w:r>
      <w:r w:rsidR="00A91833" w:rsidRPr="007725E2">
        <w:rPr>
          <w:b/>
        </w:rPr>
        <w:t xml:space="preserve">requirement apply to volunteers and </w:t>
      </w:r>
      <w:r w:rsidR="005B7250" w:rsidRPr="007725E2">
        <w:rPr>
          <w:b/>
        </w:rPr>
        <w:t xml:space="preserve">lay </w:t>
      </w:r>
      <w:r w:rsidR="00A91833" w:rsidRPr="007725E2">
        <w:rPr>
          <w:b/>
        </w:rPr>
        <w:t>coaches?</w:t>
      </w:r>
      <w:r w:rsidR="00A91833" w:rsidRPr="00FF4031">
        <w:t xml:space="preserve">  </w:t>
      </w:r>
      <w:r w:rsidR="00A91833" w:rsidRPr="007725E2">
        <w:rPr>
          <w:color w:val="365F91" w:themeColor="accent1" w:themeShade="BF"/>
        </w:rPr>
        <w:t xml:space="preserve">You should continue to follow your local governing body policy relative to background checks for volunteers, volunteer coaches and other unpaid community “helpers” in your schools or at school sponsored activities. If the governing body wishes to apply the expanded criminal history check </w:t>
      </w:r>
      <w:r w:rsidR="005B7250" w:rsidRPr="007725E2">
        <w:rPr>
          <w:color w:val="365F91" w:themeColor="accent1" w:themeShade="BF"/>
        </w:rPr>
        <w:t xml:space="preserve">and expanded child protection index check requirements </w:t>
      </w:r>
      <w:r w:rsidR="00A91833" w:rsidRPr="007725E2">
        <w:rPr>
          <w:color w:val="365F91" w:themeColor="accent1" w:themeShade="BF"/>
        </w:rPr>
        <w:t xml:space="preserve">to those individuals as well, the governing body has the authority to change its local policy accordingly.  </w:t>
      </w:r>
    </w:p>
    <w:p w:rsidR="00D17E39" w:rsidRPr="007725E2" w:rsidRDefault="00A91833" w:rsidP="00FF4031">
      <w:pPr>
        <w:numPr>
          <w:ilvl w:val="0"/>
          <w:numId w:val="14"/>
        </w:numPr>
        <w:rPr>
          <w:color w:val="365F91" w:themeColor="accent1" w:themeShade="BF"/>
        </w:rPr>
      </w:pPr>
      <w:r w:rsidRPr="007725E2">
        <w:rPr>
          <w:b/>
        </w:rPr>
        <w:t xml:space="preserve">How does </w:t>
      </w:r>
      <w:r w:rsidR="008E0AA4" w:rsidRPr="007725E2">
        <w:rPr>
          <w:b/>
        </w:rPr>
        <w:t xml:space="preserve">the </w:t>
      </w:r>
      <w:r w:rsidRPr="007725E2">
        <w:rPr>
          <w:b/>
        </w:rPr>
        <w:t xml:space="preserve">requirement for </w:t>
      </w:r>
      <w:r w:rsidR="000619AD" w:rsidRPr="007725E2">
        <w:rPr>
          <w:b/>
        </w:rPr>
        <w:t xml:space="preserve">ECH </w:t>
      </w:r>
      <w:r w:rsidR="005B7250" w:rsidRPr="007725E2">
        <w:rPr>
          <w:b/>
        </w:rPr>
        <w:t xml:space="preserve">and ECPI </w:t>
      </w:r>
      <w:r w:rsidRPr="007725E2">
        <w:rPr>
          <w:b/>
        </w:rPr>
        <w:t xml:space="preserve">checks for new hires impact teacher candidates from colleges and universities who are placed in schools for </w:t>
      </w:r>
      <w:r w:rsidR="000619AD" w:rsidRPr="007725E2">
        <w:rPr>
          <w:b/>
        </w:rPr>
        <w:t xml:space="preserve">student teaching, </w:t>
      </w:r>
      <w:r w:rsidRPr="007725E2">
        <w:rPr>
          <w:b/>
        </w:rPr>
        <w:t>observations, and other clinical experiences?</w:t>
      </w:r>
      <w:r w:rsidRPr="00FF4031">
        <w:t xml:space="preserve">  </w:t>
      </w:r>
      <w:r w:rsidRPr="007725E2">
        <w:rPr>
          <w:color w:val="365F91" w:themeColor="accent1" w:themeShade="BF"/>
        </w:rPr>
        <w:t>There is no state requirement related to criminal history checks</w:t>
      </w:r>
      <w:r w:rsidR="005B7250" w:rsidRPr="007725E2">
        <w:rPr>
          <w:color w:val="365F91" w:themeColor="accent1" w:themeShade="BF"/>
        </w:rPr>
        <w:t xml:space="preserve"> or exp</w:t>
      </w:r>
      <w:r w:rsidR="00A861AA">
        <w:rPr>
          <w:color w:val="365F91" w:themeColor="accent1" w:themeShade="BF"/>
        </w:rPr>
        <w:t>a</w:t>
      </w:r>
      <w:r w:rsidR="005B7250" w:rsidRPr="007725E2">
        <w:rPr>
          <w:color w:val="365F91" w:themeColor="accent1" w:themeShade="BF"/>
        </w:rPr>
        <w:t xml:space="preserve">nded child protection index checks </w:t>
      </w:r>
      <w:r w:rsidRPr="007725E2">
        <w:rPr>
          <w:color w:val="365F91" w:themeColor="accent1" w:themeShade="BF"/>
        </w:rPr>
        <w:t xml:space="preserve">prior to clinical experience placements for teacher </w:t>
      </w:r>
      <w:r w:rsidR="005B7250" w:rsidRPr="007725E2">
        <w:rPr>
          <w:color w:val="365F91" w:themeColor="accent1" w:themeShade="BF"/>
        </w:rPr>
        <w:t xml:space="preserve">preparation pre-service </w:t>
      </w:r>
      <w:r w:rsidRPr="007725E2">
        <w:rPr>
          <w:color w:val="365F91" w:themeColor="accent1" w:themeShade="BF"/>
        </w:rPr>
        <w:t xml:space="preserve">candidates. Those requirements are determined by partnership agreements between </w:t>
      </w:r>
      <w:r w:rsidR="000619AD" w:rsidRPr="007725E2">
        <w:rPr>
          <w:color w:val="365F91" w:themeColor="accent1" w:themeShade="BF"/>
        </w:rPr>
        <w:t xml:space="preserve">P-12 </w:t>
      </w:r>
      <w:r w:rsidRPr="007725E2">
        <w:rPr>
          <w:color w:val="365F91" w:themeColor="accent1" w:themeShade="BF"/>
        </w:rPr>
        <w:t xml:space="preserve">schools and institutions of higher education. </w:t>
      </w:r>
    </w:p>
    <w:p w:rsidR="0036240B" w:rsidRPr="007725E2" w:rsidRDefault="008E0AA4" w:rsidP="00FF4031">
      <w:pPr>
        <w:numPr>
          <w:ilvl w:val="0"/>
          <w:numId w:val="14"/>
        </w:numPr>
        <w:rPr>
          <w:color w:val="365F91" w:themeColor="accent1" w:themeShade="BF"/>
        </w:rPr>
      </w:pPr>
      <w:r w:rsidRPr="007725E2">
        <w:rPr>
          <w:b/>
        </w:rPr>
        <w:t>IC 20-26-5-10</w:t>
      </w:r>
      <w:r w:rsidR="005B7250" w:rsidRPr="007725E2">
        <w:rPr>
          <w:b/>
        </w:rPr>
        <w:t>(c)</w:t>
      </w:r>
      <w:r w:rsidRPr="007725E2">
        <w:rPr>
          <w:b/>
        </w:rPr>
        <w:t xml:space="preserve"> </w:t>
      </w:r>
      <w:r w:rsidR="00A27A97" w:rsidRPr="007725E2">
        <w:rPr>
          <w:b/>
        </w:rPr>
        <w:t xml:space="preserve">provides that an ECH </w:t>
      </w:r>
      <w:r w:rsidR="005B7250" w:rsidRPr="007725E2">
        <w:rPr>
          <w:b/>
        </w:rPr>
        <w:t xml:space="preserve">and an ECPI check </w:t>
      </w:r>
      <w:r w:rsidR="00A27A97" w:rsidRPr="007725E2">
        <w:rPr>
          <w:b/>
        </w:rPr>
        <w:t xml:space="preserve">must be obtained either before or not later than three (3) months after the applicant’s employment. What if an applicant has already been hired </w:t>
      </w:r>
      <w:r w:rsidR="002F4B6D" w:rsidRPr="007725E2">
        <w:rPr>
          <w:b/>
        </w:rPr>
        <w:t>and the ECH check is returned with a “dirty” or “not qualified” result</w:t>
      </w:r>
      <w:r w:rsidR="005B7250" w:rsidRPr="007725E2">
        <w:rPr>
          <w:b/>
        </w:rPr>
        <w:t xml:space="preserve"> or the ECPI check returns a substantiated report of child abuse or neglect</w:t>
      </w:r>
      <w:r w:rsidR="002F4B6D" w:rsidRPr="007725E2">
        <w:rPr>
          <w:b/>
        </w:rPr>
        <w:t>?</w:t>
      </w:r>
      <w:r w:rsidR="002F4B6D" w:rsidRPr="00FF4031">
        <w:t xml:space="preserve">  </w:t>
      </w:r>
      <w:r w:rsidR="002F4B6D" w:rsidRPr="007725E2">
        <w:rPr>
          <w:color w:val="365F91" w:themeColor="accent1" w:themeShade="BF"/>
        </w:rPr>
        <w:t xml:space="preserve">The Department of Education strongly encourages you to have an ECH </w:t>
      </w:r>
      <w:r w:rsidR="005B7250" w:rsidRPr="007725E2">
        <w:rPr>
          <w:color w:val="365F91" w:themeColor="accent1" w:themeShade="BF"/>
        </w:rPr>
        <w:t xml:space="preserve">and ECPI check </w:t>
      </w:r>
      <w:r w:rsidR="002F4B6D" w:rsidRPr="007725E2">
        <w:rPr>
          <w:color w:val="365F91" w:themeColor="accent1" w:themeShade="BF"/>
        </w:rPr>
        <w:t xml:space="preserve">in hand prior to recommending an applicant for employment. However, an applicant can also be hired pending successful fulfillment of all pre-employment conditions, which would include a “clean” </w:t>
      </w:r>
      <w:r w:rsidR="005B7250" w:rsidRPr="007725E2">
        <w:rPr>
          <w:color w:val="365F91" w:themeColor="accent1" w:themeShade="BF"/>
        </w:rPr>
        <w:t xml:space="preserve">ECPI check </w:t>
      </w:r>
      <w:r w:rsidR="00082C0A" w:rsidRPr="007725E2">
        <w:rPr>
          <w:color w:val="365F91" w:themeColor="accent1" w:themeShade="BF"/>
        </w:rPr>
        <w:t>and</w:t>
      </w:r>
      <w:r w:rsidR="005B7250" w:rsidRPr="007725E2">
        <w:rPr>
          <w:color w:val="365F91" w:themeColor="accent1" w:themeShade="BF"/>
        </w:rPr>
        <w:t xml:space="preserve"> a “clean” </w:t>
      </w:r>
      <w:r w:rsidR="00082C0A" w:rsidRPr="007725E2">
        <w:rPr>
          <w:color w:val="365F91" w:themeColor="accent1" w:themeShade="BF"/>
        </w:rPr>
        <w:t xml:space="preserve">or </w:t>
      </w:r>
      <w:r w:rsidR="002F4B6D" w:rsidRPr="007725E2">
        <w:rPr>
          <w:color w:val="365F91" w:themeColor="accent1" w:themeShade="BF"/>
        </w:rPr>
        <w:t>“qualified” ECH result. If, after hiring, the ECH check disqualifies the applicant/new employee then the employment relationship can be terminated without further process</w:t>
      </w:r>
      <w:r w:rsidR="00DD2C39" w:rsidRPr="007725E2">
        <w:rPr>
          <w:color w:val="365F91" w:themeColor="accent1" w:themeShade="BF"/>
        </w:rPr>
        <w:t xml:space="preserve"> as long as such is consistent with local policies</w:t>
      </w:r>
      <w:r w:rsidR="002F4B6D" w:rsidRPr="007725E2">
        <w:rPr>
          <w:color w:val="365F91" w:themeColor="accent1" w:themeShade="BF"/>
        </w:rPr>
        <w:t xml:space="preserve">.  </w:t>
      </w:r>
      <w:r w:rsidR="00082C0A" w:rsidRPr="007725E2">
        <w:rPr>
          <w:color w:val="365F91" w:themeColor="accent1" w:themeShade="BF"/>
        </w:rPr>
        <w:t>If the ECPI check disqualifies the applicant/new employee, the school employer may use that information not to employ or contract with the individual. See # 14 and 15 above.</w:t>
      </w:r>
    </w:p>
    <w:p w:rsidR="009C2132" w:rsidRPr="007725E2" w:rsidRDefault="009C2132" w:rsidP="00FF4031">
      <w:pPr>
        <w:numPr>
          <w:ilvl w:val="0"/>
          <w:numId w:val="14"/>
        </w:numPr>
        <w:rPr>
          <w:color w:val="365F91" w:themeColor="accent1" w:themeShade="BF"/>
        </w:rPr>
      </w:pPr>
      <w:r w:rsidRPr="007725E2">
        <w:rPr>
          <w:b/>
        </w:rPr>
        <w:t xml:space="preserve">If a school employee is convicted of a crime or is subject to a substantiated report of child abuse or neglect while employed, is there a </w:t>
      </w:r>
      <w:r w:rsidR="00C419A9" w:rsidRPr="007725E2">
        <w:rPr>
          <w:b/>
        </w:rPr>
        <w:t xml:space="preserve">duty </w:t>
      </w:r>
      <w:r w:rsidRPr="007725E2">
        <w:rPr>
          <w:b/>
        </w:rPr>
        <w:t>to self-report?</w:t>
      </w:r>
      <w:r w:rsidRPr="00FF4031">
        <w:t xml:space="preserve"> </w:t>
      </w:r>
      <w:r w:rsidRPr="007725E2">
        <w:rPr>
          <w:color w:val="365F91" w:themeColor="accent1" w:themeShade="BF"/>
        </w:rPr>
        <w:t xml:space="preserve">Yes. </w:t>
      </w:r>
      <w:r w:rsidR="00370D8A" w:rsidRPr="007725E2">
        <w:rPr>
          <w:color w:val="365F91" w:themeColor="accent1" w:themeShade="BF"/>
        </w:rPr>
        <w:t xml:space="preserve">IC 20-26-5-11(b) enumerates 20 serious crimes that may be a bar to employment. IC 20- 26-5-11(c) requires an individual employed by a school corporation, charter school or an entity with which the school corporation contracts for services and that has employees who are likely to have direct, ongoing contact with children within the scope of the employees’ employment to report to the governing body of the school corporation or school if the individual is convicted of one of the listed crimes during the course of the individual’s employment. </w:t>
      </w:r>
      <w:r w:rsidR="00F16A0B" w:rsidRPr="007725E2">
        <w:rPr>
          <w:color w:val="365F91" w:themeColor="accent1" w:themeShade="BF"/>
        </w:rPr>
        <w:t xml:space="preserve">Additionally, IC 20-26-5-11(e) requires that an individual employed by a school corporation, charter </w:t>
      </w:r>
      <w:r w:rsidR="00F16A0B" w:rsidRPr="007725E2">
        <w:rPr>
          <w:color w:val="365F91" w:themeColor="accent1" w:themeShade="BF"/>
        </w:rPr>
        <w:lastRenderedPageBreak/>
        <w:t xml:space="preserve">school or entity (as previously described) shall notify the governing body of the school corporation or school if, during the course of the individual’s employment, the individual is subject to a substantiated report of child abuse or neglect. </w:t>
      </w:r>
    </w:p>
    <w:p w:rsidR="00350811" w:rsidRPr="007725E2" w:rsidRDefault="00350811" w:rsidP="00FF4031">
      <w:pPr>
        <w:numPr>
          <w:ilvl w:val="0"/>
          <w:numId w:val="14"/>
        </w:numPr>
        <w:rPr>
          <w:color w:val="365F91" w:themeColor="accent1" w:themeShade="BF"/>
        </w:rPr>
      </w:pPr>
      <w:r w:rsidRPr="007725E2">
        <w:rPr>
          <w:b/>
        </w:rPr>
        <w:t xml:space="preserve">If my school corporation, charter school, or nonpublic school (that employs one (1) or more employees) is aware of a substantiated report of child abuse or neglect for a current or former employee, </w:t>
      </w:r>
      <w:r w:rsidR="009C5974" w:rsidRPr="007725E2">
        <w:rPr>
          <w:b/>
        </w:rPr>
        <w:t>can I disclose that information i</w:t>
      </w:r>
      <w:r w:rsidRPr="007725E2">
        <w:rPr>
          <w:b/>
        </w:rPr>
        <w:t>n an employment reference to a prospective school employer</w:t>
      </w:r>
      <w:r w:rsidR="009C5974" w:rsidRPr="007725E2">
        <w:rPr>
          <w:b/>
        </w:rPr>
        <w:t>?</w:t>
      </w:r>
      <w:r w:rsidR="009C5974" w:rsidRPr="00FF4031">
        <w:t xml:space="preserve"> </w:t>
      </w:r>
      <w:r w:rsidRPr="00FF4031">
        <w:t xml:space="preserve"> </w:t>
      </w:r>
      <w:r w:rsidR="009C5974" w:rsidRPr="007725E2">
        <w:rPr>
          <w:color w:val="365F91" w:themeColor="accent1" w:themeShade="BF"/>
        </w:rPr>
        <w:t>Yes. Regardless of any confidentiality agreement entered into by a school corporation</w:t>
      </w:r>
      <w:r w:rsidR="007725E2" w:rsidRPr="007725E2">
        <w:rPr>
          <w:color w:val="365F91" w:themeColor="accent1" w:themeShade="BF"/>
        </w:rPr>
        <w:t>, charter</w:t>
      </w:r>
      <w:r w:rsidR="009C5974" w:rsidRPr="007725E2">
        <w:rPr>
          <w:color w:val="365F91" w:themeColor="accent1" w:themeShade="BF"/>
        </w:rPr>
        <w:t xml:space="preserve"> school or nonpublic school that employs one (1) or more employees and an employee of the school, a school that receives a request for an employment reference from another school for a current or former employee shall disclose to the requesting school </w:t>
      </w:r>
      <w:r w:rsidR="00E25240" w:rsidRPr="007725E2">
        <w:rPr>
          <w:color w:val="365F91" w:themeColor="accent1" w:themeShade="BF"/>
        </w:rPr>
        <w:t>any incident know</w:t>
      </w:r>
      <w:r w:rsidR="002E34BC">
        <w:rPr>
          <w:color w:val="365F91" w:themeColor="accent1" w:themeShade="BF"/>
        </w:rPr>
        <w:t>n</w:t>
      </w:r>
      <w:r w:rsidR="00E25240" w:rsidRPr="007725E2">
        <w:rPr>
          <w:color w:val="365F91" w:themeColor="accent1" w:themeShade="BF"/>
        </w:rPr>
        <w:t xml:space="preserve"> by the school in which the employee committed an act resulting in a substantiated report of abuse or neglect under IC 31-6 (before repeal) or IC 31-33. </w:t>
      </w:r>
      <w:r w:rsidR="004D7FF3" w:rsidRPr="007725E2">
        <w:rPr>
          <w:color w:val="365F91" w:themeColor="accent1" w:themeShade="BF"/>
        </w:rPr>
        <w:t xml:space="preserve">Please consult your school </w:t>
      </w:r>
      <w:r w:rsidR="007725E2" w:rsidRPr="007725E2">
        <w:rPr>
          <w:color w:val="365F91" w:themeColor="accent1" w:themeShade="BF"/>
        </w:rPr>
        <w:t>attorney.</w:t>
      </w:r>
    </w:p>
    <w:p w:rsidR="00E25240" w:rsidRPr="007725E2" w:rsidRDefault="00E25240" w:rsidP="00FF4031">
      <w:pPr>
        <w:numPr>
          <w:ilvl w:val="0"/>
          <w:numId w:val="14"/>
        </w:numPr>
        <w:rPr>
          <w:color w:val="365F91" w:themeColor="accent1" w:themeShade="BF"/>
        </w:rPr>
      </w:pPr>
      <w:r w:rsidRPr="007725E2">
        <w:rPr>
          <w:b/>
        </w:rPr>
        <w:t>What information cannot be disclosed in an employment reference?</w:t>
      </w:r>
      <w:r w:rsidRPr="00FF4031">
        <w:t xml:space="preserve">  </w:t>
      </w:r>
      <w:r w:rsidRPr="007725E2">
        <w:rPr>
          <w:color w:val="365F91" w:themeColor="accent1" w:themeShade="BF"/>
        </w:rPr>
        <w:t xml:space="preserve">Any information regarding a report on a current or former employee that was </w:t>
      </w:r>
      <w:r w:rsidR="00A861AA">
        <w:rPr>
          <w:color w:val="365F91" w:themeColor="accent1" w:themeShade="BF"/>
        </w:rPr>
        <w:t>unsubstantiated</w:t>
      </w:r>
      <w:r w:rsidR="00087B67">
        <w:rPr>
          <w:color w:val="365F91" w:themeColor="accent1" w:themeShade="BF"/>
        </w:rPr>
        <w:t xml:space="preserve"> by the Indiana Department of Child Service</w:t>
      </w:r>
      <w:r w:rsidRPr="007725E2">
        <w:rPr>
          <w:color w:val="365F91" w:themeColor="accent1" w:themeShade="BF"/>
        </w:rPr>
        <w:t xml:space="preserve"> may not be disclosed. Additionally, the school </w:t>
      </w:r>
      <w:r w:rsidR="00E1232D">
        <w:rPr>
          <w:color w:val="365F91" w:themeColor="accent1" w:themeShade="BF"/>
        </w:rPr>
        <w:t xml:space="preserve">shall </w:t>
      </w:r>
      <w:r w:rsidRPr="007725E2">
        <w:rPr>
          <w:color w:val="365F91" w:themeColor="accent1" w:themeShade="BF"/>
        </w:rPr>
        <w:t xml:space="preserve">not disclose any information that identifies a student or is confidential student information under the federal Family Education Rights and Privacy Act (FERPA). </w:t>
      </w:r>
    </w:p>
    <w:p w:rsidR="008E7D34" w:rsidRPr="007725E2" w:rsidRDefault="00E25240" w:rsidP="00FF4031">
      <w:pPr>
        <w:numPr>
          <w:ilvl w:val="0"/>
          <w:numId w:val="14"/>
        </w:numPr>
        <w:rPr>
          <w:color w:val="365F91" w:themeColor="accent1" w:themeShade="BF"/>
        </w:rPr>
      </w:pPr>
      <w:r w:rsidRPr="007725E2">
        <w:rPr>
          <w:b/>
        </w:rPr>
        <w:t>Can a school employer enter into a confidentiality agreement with a current or former employee?</w:t>
      </w:r>
      <w:r w:rsidRPr="00FF4031">
        <w:t xml:space="preserve"> </w:t>
      </w:r>
      <w:r w:rsidRPr="007725E2">
        <w:rPr>
          <w:color w:val="365F91" w:themeColor="accent1" w:themeShade="BF"/>
        </w:rPr>
        <w:t xml:space="preserve">Yes, </w:t>
      </w:r>
      <w:r w:rsidR="00087B67">
        <w:rPr>
          <w:color w:val="365F91" w:themeColor="accent1" w:themeShade="BF"/>
        </w:rPr>
        <w:t xml:space="preserve">confidentiality agreements are not prohibited under this provision.  However, </w:t>
      </w:r>
      <w:r w:rsidRPr="007725E2">
        <w:rPr>
          <w:color w:val="365F91" w:themeColor="accent1" w:themeShade="BF"/>
        </w:rPr>
        <w:t>confidentiality agreement entered into or amended after June 30, 2016 by a school and an employee is not enforceable against the school if the employee committe</w:t>
      </w:r>
      <w:r w:rsidR="008E7D34" w:rsidRPr="007725E2">
        <w:rPr>
          <w:color w:val="365F91" w:themeColor="accent1" w:themeShade="BF"/>
        </w:rPr>
        <w:t>d</w:t>
      </w:r>
      <w:r w:rsidRPr="007725E2">
        <w:rPr>
          <w:color w:val="365F91" w:themeColor="accent1" w:themeShade="BF"/>
        </w:rPr>
        <w:t xml:space="preserve"> an act resulting in a substantiated report of child abuse or neglect</w:t>
      </w:r>
      <w:r w:rsidR="006D33DC" w:rsidRPr="007725E2">
        <w:rPr>
          <w:color w:val="365F91" w:themeColor="accent1" w:themeShade="BF"/>
        </w:rPr>
        <w:t xml:space="preserve"> under IC 31-6 (before repeal) or IC 31-33.</w:t>
      </w:r>
      <w:r w:rsidR="008E7D34" w:rsidRPr="007725E2">
        <w:rPr>
          <w:color w:val="365F91" w:themeColor="accent1" w:themeShade="BF"/>
        </w:rPr>
        <w:t xml:space="preserve">  This means that a confidentiality agreement (sometimes referred to as a nondisclosure agreement) </w:t>
      </w:r>
      <w:r w:rsidR="00087B67">
        <w:rPr>
          <w:color w:val="365F91" w:themeColor="accent1" w:themeShade="BF"/>
        </w:rPr>
        <w:t xml:space="preserve">may not preclude a school from disclosing the </w:t>
      </w:r>
      <w:r w:rsidR="00087B67" w:rsidRPr="007725E2">
        <w:rPr>
          <w:color w:val="365F91" w:themeColor="accent1" w:themeShade="BF"/>
        </w:rPr>
        <w:t>truthful information that an employee or former employee committed an act that resulted in a substantiated report of child abuse or neglect, as referenced above</w:t>
      </w:r>
      <w:r w:rsidR="00087B67">
        <w:rPr>
          <w:color w:val="365F91" w:themeColor="accent1" w:themeShade="BF"/>
        </w:rPr>
        <w:t xml:space="preserve">.  </w:t>
      </w:r>
      <w:r w:rsidR="008E7D34" w:rsidRPr="007725E2">
        <w:rPr>
          <w:color w:val="365F91" w:themeColor="accent1" w:themeShade="BF"/>
        </w:rPr>
        <w:t>Please consult your school attorney if you have any other questions about the enforceability o</w:t>
      </w:r>
      <w:r w:rsidR="00726C10" w:rsidRPr="007725E2">
        <w:rPr>
          <w:color w:val="365F91" w:themeColor="accent1" w:themeShade="BF"/>
        </w:rPr>
        <w:t>f</w:t>
      </w:r>
      <w:r w:rsidR="008E7D34" w:rsidRPr="007725E2">
        <w:rPr>
          <w:color w:val="365F91" w:themeColor="accent1" w:themeShade="BF"/>
        </w:rPr>
        <w:t xml:space="preserve"> nondisclosure o</w:t>
      </w:r>
      <w:r w:rsidR="00726C10" w:rsidRPr="007725E2">
        <w:rPr>
          <w:color w:val="365F91" w:themeColor="accent1" w:themeShade="BF"/>
        </w:rPr>
        <w:t>r</w:t>
      </w:r>
      <w:r w:rsidR="008E7D34" w:rsidRPr="007725E2">
        <w:rPr>
          <w:color w:val="365F91" w:themeColor="accent1" w:themeShade="BF"/>
        </w:rPr>
        <w:t xml:space="preserve"> confidentiality agreements between schools and employees. </w:t>
      </w:r>
    </w:p>
    <w:p w:rsidR="00A12A24" w:rsidRPr="00FF4031" w:rsidRDefault="000501FF" w:rsidP="00853E6F">
      <w:pPr>
        <w:pStyle w:val="ListParagraph"/>
        <w:numPr>
          <w:ilvl w:val="0"/>
          <w:numId w:val="14"/>
        </w:numPr>
      </w:pPr>
      <w:r w:rsidRPr="008010B6">
        <w:rPr>
          <w:b/>
        </w:rPr>
        <w:t xml:space="preserve">What can an employee do if they have questions about the results of their ECPI check? </w:t>
      </w:r>
      <w:r w:rsidRPr="008010B6">
        <w:rPr>
          <w:color w:val="1F497D" w:themeColor="text2"/>
        </w:rPr>
        <w:t xml:space="preserve">If the ECPI check completed by the Department Child Services Central Office Background Check Unit reveals any instance of substantiated child abuse or neglect, the form will also include the contact information for the local DCS office that completed the assessment.  The subject of the check may contact the local office to receive instructions on obtaining further information regarding that assessment and to find out whether they are eligible for an administrative </w:t>
      </w:r>
      <w:r w:rsidR="002E34BC" w:rsidRPr="008010B6">
        <w:rPr>
          <w:color w:val="1F497D" w:themeColor="text2"/>
        </w:rPr>
        <w:t xml:space="preserve">review of the substantiation.  Locations of each Department of Child Services offices can be found </w:t>
      </w:r>
      <w:hyperlink r:id="rId18" w:history="1">
        <w:r w:rsidR="002E34BC" w:rsidRPr="002E34BC">
          <w:rPr>
            <w:rStyle w:val="Hyperlink"/>
          </w:rPr>
          <w:t>here</w:t>
        </w:r>
      </w:hyperlink>
      <w:r w:rsidR="002E34BC" w:rsidRPr="008010B6">
        <w:rPr>
          <w:color w:val="1F497D" w:themeColor="text2"/>
        </w:rPr>
        <w:t>.</w:t>
      </w:r>
    </w:p>
    <w:p w:rsidR="00A12A24" w:rsidRPr="00FF4031" w:rsidRDefault="00A12A24" w:rsidP="00FF4031"/>
    <w:sectPr w:rsidR="00A12A24" w:rsidRPr="00FF4031" w:rsidSect="00FF403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87C" w:rsidRDefault="0088587C" w:rsidP="00370D8A">
      <w:pPr>
        <w:spacing w:after="0" w:line="240" w:lineRule="auto"/>
      </w:pPr>
      <w:r>
        <w:separator/>
      </w:r>
    </w:p>
  </w:endnote>
  <w:endnote w:type="continuationSeparator" w:id="0">
    <w:p w:rsidR="0088587C" w:rsidRDefault="0088587C" w:rsidP="00370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87C" w:rsidRDefault="0088587C" w:rsidP="00370D8A">
      <w:pPr>
        <w:spacing w:after="0" w:line="240" w:lineRule="auto"/>
      </w:pPr>
      <w:r>
        <w:separator/>
      </w:r>
    </w:p>
  </w:footnote>
  <w:footnote w:type="continuationSeparator" w:id="0">
    <w:p w:rsidR="0088587C" w:rsidRDefault="0088587C" w:rsidP="00370D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0BC4F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9E1306"/>
    <w:multiLevelType w:val="hybridMultilevel"/>
    <w:tmpl w:val="2F1458DE"/>
    <w:lvl w:ilvl="0" w:tplc="B41C2D2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DF2980"/>
    <w:multiLevelType w:val="hybridMultilevel"/>
    <w:tmpl w:val="8F58A792"/>
    <w:lvl w:ilvl="0" w:tplc="04090015">
      <w:start w:val="1"/>
      <w:numFmt w:val="upperLetter"/>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nsid w:val="0CB93EE7"/>
    <w:multiLevelType w:val="hybridMultilevel"/>
    <w:tmpl w:val="AD005348"/>
    <w:lvl w:ilvl="0" w:tplc="406CDA56">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3C291D"/>
    <w:multiLevelType w:val="hybridMultilevel"/>
    <w:tmpl w:val="E8A6AA9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4F419C1"/>
    <w:multiLevelType w:val="hybridMultilevel"/>
    <w:tmpl w:val="F9F6F9B0"/>
    <w:lvl w:ilvl="0" w:tplc="679E7528">
      <w:start w:val="27"/>
      <w:numFmt w:val="decimal"/>
      <w:lvlText w:val="%1."/>
      <w:lvlJc w:val="left"/>
      <w:pPr>
        <w:ind w:left="990" w:hanging="360"/>
      </w:pPr>
      <w:rPr>
        <w:b/>
        <w:color w:val="auto"/>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6">
    <w:nsid w:val="15F046C6"/>
    <w:multiLevelType w:val="hybridMultilevel"/>
    <w:tmpl w:val="EF9AAF50"/>
    <w:lvl w:ilvl="0" w:tplc="68388242">
      <w:start w:val="1"/>
      <w:numFmt w:val="upperLetter"/>
      <w:lvlText w:val="(%1)"/>
      <w:lvlJc w:val="left"/>
      <w:pPr>
        <w:ind w:left="2880" w:hanging="36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nsid w:val="16B97545"/>
    <w:multiLevelType w:val="multilevel"/>
    <w:tmpl w:val="0409001D"/>
    <w:lvl w:ilvl="0">
      <w:start w:val="1"/>
      <w:numFmt w:val="decimal"/>
      <w:lvlText w:val="%1)"/>
      <w:lvlJc w:val="left"/>
      <w:pPr>
        <w:ind w:left="2160" w:hanging="360"/>
      </w:pPr>
    </w:lvl>
    <w:lvl w:ilvl="1">
      <w:start w:val="1"/>
      <w:numFmt w:val="lowerLetter"/>
      <w:lvlText w:val="%2)"/>
      <w:lvlJc w:val="left"/>
      <w:pPr>
        <w:ind w:left="2520" w:hanging="360"/>
      </w:pPr>
    </w:lvl>
    <w:lvl w:ilvl="2">
      <w:start w:val="1"/>
      <w:numFmt w:val="lowerRoman"/>
      <w:lvlText w:val="%3)"/>
      <w:lvlJc w:val="left"/>
      <w:pPr>
        <w:ind w:left="2880" w:hanging="360"/>
      </w:pPr>
    </w:lvl>
    <w:lvl w:ilvl="3">
      <w:start w:val="1"/>
      <w:numFmt w:val="decimal"/>
      <w:lvlText w:val="(%4)"/>
      <w:lvlJc w:val="left"/>
      <w:pPr>
        <w:ind w:left="3240" w:hanging="360"/>
      </w:pPr>
    </w:lvl>
    <w:lvl w:ilvl="4">
      <w:start w:val="1"/>
      <w:numFmt w:val="lowerLetter"/>
      <w:lvlText w:val="(%5)"/>
      <w:lvlJc w:val="left"/>
      <w:pPr>
        <w:ind w:left="3600" w:hanging="360"/>
      </w:pPr>
    </w:lvl>
    <w:lvl w:ilvl="5">
      <w:start w:val="1"/>
      <w:numFmt w:val="lowerRoman"/>
      <w:lvlText w:val="(%6)"/>
      <w:lvlJc w:val="left"/>
      <w:pPr>
        <w:ind w:left="3960" w:hanging="360"/>
      </w:pPr>
    </w:lvl>
    <w:lvl w:ilvl="6">
      <w:start w:val="1"/>
      <w:numFmt w:val="decimal"/>
      <w:lvlText w:val="%7."/>
      <w:lvlJc w:val="left"/>
      <w:pPr>
        <w:ind w:left="4320" w:hanging="360"/>
      </w:pPr>
    </w:lvl>
    <w:lvl w:ilvl="7">
      <w:start w:val="1"/>
      <w:numFmt w:val="lowerLetter"/>
      <w:lvlText w:val="%8."/>
      <w:lvlJc w:val="left"/>
      <w:pPr>
        <w:ind w:left="4680" w:hanging="360"/>
      </w:pPr>
    </w:lvl>
    <w:lvl w:ilvl="8">
      <w:start w:val="1"/>
      <w:numFmt w:val="lowerRoman"/>
      <w:lvlText w:val="%9."/>
      <w:lvlJc w:val="left"/>
      <w:pPr>
        <w:ind w:left="5040" w:hanging="360"/>
      </w:pPr>
    </w:lvl>
  </w:abstractNum>
  <w:abstractNum w:abstractNumId="8">
    <w:nsid w:val="1847139D"/>
    <w:multiLevelType w:val="hybridMultilevel"/>
    <w:tmpl w:val="4ECE8B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4D54DA"/>
    <w:multiLevelType w:val="hybridMultilevel"/>
    <w:tmpl w:val="6DCCA7D8"/>
    <w:lvl w:ilvl="0" w:tplc="3E0A9AC8">
      <w:start w:val="16"/>
      <w:numFmt w:val="decimal"/>
      <w:lvlText w:val="%1."/>
      <w:lvlJc w:val="left"/>
      <w:pPr>
        <w:ind w:left="990" w:hanging="360"/>
      </w:pPr>
      <w:rPr>
        <w:rFonts w:hint="default"/>
        <w:b/>
        <w:color w:val="auto"/>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nsid w:val="1E457707"/>
    <w:multiLevelType w:val="hybridMultilevel"/>
    <w:tmpl w:val="F098AC18"/>
    <w:lvl w:ilvl="0" w:tplc="04090011">
      <w:start w:val="1"/>
      <w:numFmt w:val="decimal"/>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1">
    <w:nsid w:val="245B600C"/>
    <w:multiLevelType w:val="hybridMultilevel"/>
    <w:tmpl w:val="BB9CD8C0"/>
    <w:lvl w:ilvl="0" w:tplc="D0B6952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FF45D77"/>
    <w:multiLevelType w:val="hybridMultilevel"/>
    <w:tmpl w:val="D702E7A2"/>
    <w:lvl w:ilvl="0" w:tplc="68388242">
      <w:start w:val="1"/>
      <w:numFmt w:val="upp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68388242">
      <w:start w:val="1"/>
      <w:numFmt w:val="upperLetter"/>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7778AA"/>
    <w:multiLevelType w:val="multilevel"/>
    <w:tmpl w:val="04C8EEAE"/>
    <w:lvl w:ilvl="0">
      <w:start w:val="1"/>
      <w:numFmt w:val="decimal"/>
      <w:lvlText w:val="(%1)"/>
      <w:lvlJc w:val="left"/>
      <w:pPr>
        <w:ind w:left="2520" w:hanging="360"/>
      </w:pPr>
      <w:rPr>
        <w:rFonts w:hint="default"/>
      </w:rPr>
    </w:lvl>
    <w:lvl w:ilvl="1">
      <w:start w:val="1"/>
      <w:numFmt w:val="lowerLetter"/>
      <w:lvlText w:val="%2)"/>
      <w:lvlJc w:val="left"/>
      <w:pPr>
        <w:ind w:left="2880" w:hanging="360"/>
      </w:pPr>
      <w:rPr>
        <w:rFonts w:hint="default"/>
      </w:rPr>
    </w:lvl>
    <w:lvl w:ilvl="2">
      <w:start w:val="1"/>
      <w:numFmt w:val="lowerRoman"/>
      <w:lvlText w:val="%3)"/>
      <w:lvlJc w:val="left"/>
      <w:pPr>
        <w:ind w:left="3240" w:hanging="36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14">
    <w:nsid w:val="35B051D3"/>
    <w:multiLevelType w:val="hybridMultilevel"/>
    <w:tmpl w:val="8BD25888"/>
    <w:lvl w:ilvl="0" w:tplc="42587D5A">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DD51F7"/>
    <w:multiLevelType w:val="hybridMultilevel"/>
    <w:tmpl w:val="73E80A2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B8803B6"/>
    <w:multiLevelType w:val="multilevel"/>
    <w:tmpl w:val="73E80A2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nsid w:val="41B90645"/>
    <w:multiLevelType w:val="hybridMultilevel"/>
    <w:tmpl w:val="A3A8FC02"/>
    <w:lvl w:ilvl="0" w:tplc="051A2A28">
      <w:start w:val="6"/>
      <w:numFmt w:val="decimal"/>
      <w:lvlText w:val="%1."/>
      <w:lvlJc w:val="left"/>
      <w:pPr>
        <w:ind w:left="1350" w:hanging="360"/>
      </w:pPr>
      <w:rPr>
        <w:rFonts w:hint="default"/>
        <w:b/>
        <w:color w:val="auto"/>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8">
    <w:nsid w:val="446638B3"/>
    <w:multiLevelType w:val="hybridMultilevel"/>
    <w:tmpl w:val="44A8330C"/>
    <w:lvl w:ilvl="0" w:tplc="3044242E">
      <w:start w:val="6"/>
      <w:numFmt w:val="decimal"/>
      <w:lvlText w:val="%1."/>
      <w:lvlJc w:val="left"/>
      <w:pPr>
        <w:ind w:left="1350" w:hanging="360"/>
      </w:pPr>
      <w:rPr>
        <w:rFonts w:hint="default"/>
        <w:b/>
        <w:color w:val="auto"/>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9">
    <w:nsid w:val="4AEA2641"/>
    <w:multiLevelType w:val="hybridMultilevel"/>
    <w:tmpl w:val="941C6266"/>
    <w:lvl w:ilvl="0" w:tplc="68388242">
      <w:start w:val="1"/>
      <w:numFmt w:val="upp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333531"/>
    <w:multiLevelType w:val="multilevel"/>
    <w:tmpl w:val="0409001D"/>
    <w:lvl w:ilvl="0">
      <w:start w:val="1"/>
      <w:numFmt w:val="decimal"/>
      <w:lvlText w:val="%1)"/>
      <w:lvlJc w:val="left"/>
      <w:pPr>
        <w:ind w:left="2160" w:hanging="360"/>
      </w:pPr>
    </w:lvl>
    <w:lvl w:ilvl="1">
      <w:start w:val="1"/>
      <w:numFmt w:val="lowerLetter"/>
      <w:lvlText w:val="%2)"/>
      <w:lvlJc w:val="left"/>
      <w:pPr>
        <w:ind w:left="2520" w:hanging="360"/>
      </w:pPr>
    </w:lvl>
    <w:lvl w:ilvl="2">
      <w:start w:val="1"/>
      <w:numFmt w:val="lowerRoman"/>
      <w:lvlText w:val="%3)"/>
      <w:lvlJc w:val="left"/>
      <w:pPr>
        <w:ind w:left="2880" w:hanging="360"/>
      </w:pPr>
    </w:lvl>
    <w:lvl w:ilvl="3">
      <w:start w:val="1"/>
      <w:numFmt w:val="decimal"/>
      <w:lvlText w:val="(%4)"/>
      <w:lvlJc w:val="left"/>
      <w:pPr>
        <w:ind w:left="3240" w:hanging="360"/>
      </w:pPr>
    </w:lvl>
    <w:lvl w:ilvl="4">
      <w:start w:val="1"/>
      <w:numFmt w:val="lowerLetter"/>
      <w:lvlText w:val="(%5)"/>
      <w:lvlJc w:val="left"/>
      <w:pPr>
        <w:ind w:left="3600" w:hanging="360"/>
      </w:pPr>
    </w:lvl>
    <w:lvl w:ilvl="5">
      <w:start w:val="1"/>
      <w:numFmt w:val="lowerRoman"/>
      <w:lvlText w:val="(%6)"/>
      <w:lvlJc w:val="left"/>
      <w:pPr>
        <w:ind w:left="3960" w:hanging="360"/>
      </w:pPr>
    </w:lvl>
    <w:lvl w:ilvl="6">
      <w:start w:val="1"/>
      <w:numFmt w:val="decimal"/>
      <w:lvlText w:val="%7."/>
      <w:lvlJc w:val="left"/>
      <w:pPr>
        <w:ind w:left="4320" w:hanging="360"/>
      </w:pPr>
    </w:lvl>
    <w:lvl w:ilvl="7">
      <w:start w:val="1"/>
      <w:numFmt w:val="lowerLetter"/>
      <w:lvlText w:val="%8."/>
      <w:lvlJc w:val="left"/>
      <w:pPr>
        <w:ind w:left="4680" w:hanging="360"/>
      </w:pPr>
    </w:lvl>
    <w:lvl w:ilvl="8">
      <w:start w:val="1"/>
      <w:numFmt w:val="lowerRoman"/>
      <w:lvlText w:val="%9."/>
      <w:lvlJc w:val="left"/>
      <w:pPr>
        <w:ind w:left="5040" w:hanging="360"/>
      </w:pPr>
    </w:lvl>
  </w:abstractNum>
  <w:abstractNum w:abstractNumId="21">
    <w:nsid w:val="54DF3673"/>
    <w:multiLevelType w:val="hybridMultilevel"/>
    <w:tmpl w:val="32E26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BEE119C"/>
    <w:multiLevelType w:val="hybridMultilevel"/>
    <w:tmpl w:val="CCD00194"/>
    <w:lvl w:ilvl="0" w:tplc="16DC7C08">
      <w:start w:val="1"/>
      <w:numFmt w:val="lowerRoman"/>
      <w:lvlText w:val="(%1)"/>
      <w:lvlJc w:val="right"/>
      <w:pPr>
        <w:ind w:left="2880" w:hanging="360"/>
      </w:pPr>
      <w:rPr>
        <w:rFonts w:hint="default"/>
      </w:rPr>
    </w:lvl>
    <w:lvl w:ilvl="1" w:tplc="04090019">
      <w:start w:val="1"/>
      <w:numFmt w:val="lowerLetter"/>
      <w:lvlText w:val="%2."/>
      <w:lvlJc w:val="left"/>
      <w:pPr>
        <w:ind w:left="4320" w:hanging="360"/>
      </w:pPr>
    </w:lvl>
    <w:lvl w:ilvl="2" w:tplc="0409001B">
      <w:start w:val="1"/>
      <w:numFmt w:val="lowerRoman"/>
      <w:lvlText w:val="%3."/>
      <w:lvlJc w:val="right"/>
      <w:pPr>
        <w:ind w:left="5040" w:hanging="180"/>
      </w:pPr>
    </w:lvl>
    <w:lvl w:ilvl="3" w:tplc="0409000F">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3">
    <w:nsid w:val="66786434"/>
    <w:multiLevelType w:val="hybridMultilevel"/>
    <w:tmpl w:val="C234B746"/>
    <w:lvl w:ilvl="0" w:tplc="89982D5E">
      <w:start w:val="1"/>
      <w:numFmt w:val="decimal"/>
      <w:lvlText w:val="%1."/>
      <w:lvlJc w:val="left"/>
      <w:pPr>
        <w:ind w:left="99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1A760D5"/>
    <w:multiLevelType w:val="hybridMultilevel"/>
    <w:tmpl w:val="2FDC94C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765A3B38"/>
    <w:multiLevelType w:val="hybridMultilevel"/>
    <w:tmpl w:val="6DCCA7D8"/>
    <w:lvl w:ilvl="0" w:tplc="3E0A9AC8">
      <w:start w:val="16"/>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827432F"/>
    <w:multiLevelType w:val="multilevel"/>
    <w:tmpl w:val="21340C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7E89140F"/>
    <w:multiLevelType w:val="hybridMultilevel"/>
    <w:tmpl w:val="4E742248"/>
    <w:lvl w:ilvl="0" w:tplc="16DC7C08">
      <w:start w:val="1"/>
      <w:numFmt w:val="lowerRoman"/>
      <w:lvlText w:val="(%1)"/>
      <w:lvlJc w:val="right"/>
      <w:pPr>
        <w:ind w:left="3600" w:hanging="360"/>
      </w:pPr>
      <w:rPr>
        <w:rFonts w:hint="default"/>
      </w:r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4"/>
  </w:num>
  <w:num w:numId="4">
    <w:abstractNumId w:val="23"/>
  </w:num>
  <w:num w:numId="5">
    <w:abstractNumId w:val="9"/>
  </w:num>
  <w:num w:numId="6">
    <w:abstractNumId w:val="25"/>
  </w:num>
  <w:num w:numId="7">
    <w:abstractNumId w:val="11"/>
  </w:num>
  <w:num w:numId="8">
    <w:abstractNumId w:val="17"/>
  </w:num>
  <w:num w:numId="9">
    <w:abstractNumId w:val="18"/>
  </w:num>
  <w:num w:numId="10">
    <w:abstractNumId w:val="5"/>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0"/>
  </w:num>
  <w:num w:numId="13">
    <w:abstractNumId w:val="21"/>
  </w:num>
  <w:num w:numId="14">
    <w:abstractNumId w:val="1"/>
  </w:num>
  <w:num w:numId="15">
    <w:abstractNumId w:val="8"/>
  </w:num>
  <w:num w:numId="16">
    <w:abstractNumId w:val="15"/>
  </w:num>
  <w:num w:numId="17">
    <w:abstractNumId w:val="4"/>
  </w:num>
  <w:num w:numId="18">
    <w:abstractNumId w:val="16"/>
  </w:num>
  <w:num w:numId="19">
    <w:abstractNumId w:val="26"/>
  </w:num>
  <w:num w:numId="20">
    <w:abstractNumId w:val="24"/>
  </w:num>
  <w:num w:numId="21">
    <w:abstractNumId w:val="13"/>
  </w:num>
  <w:num w:numId="22">
    <w:abstractNumId w:val="20"/>
  </w:num>
  <w:num w:numId="23">
    <w:abstractNumId w:val="2"/>
  </w:num>
  <w:num w:numId="24">
    <w:abstractNumId w:val="19"/>
  </w:num>
  <w:num w:numId="25">
    <w:abstractNumId w:val="12"/>
  </w:num>
  <w:num w:numId="26">
    <w:abstractNumId w:val="6"/>
  </w:num>
  <w:num w:numId="27">
    <w:abstractNumId w:val="22"/>
  </w:num>
  <w:num w:numId="28">
    <w:abstractNumId w:val="27"/>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55C"/>
    <w:rsid w:val="000110B9"/>
    <w:rsid w:val="00024209"/>
    <w:rsid w:val="00024F90"/>
    <w:rsid w:val="000501FF"/>
    <w:rsid w:val="000561F4"/>
    <w:rsid w:val="000619AD"/>
    <w:rsid w:val="00077AE6"/>
    <w:rsid w:val="00082C0A"/>
    <w:rsid w:val="00086089"/>
    <w:rsid w:val="00087B67"/>
    <w:rsid w:val="00094490"/>
    <w:rsid w:val="000A6A9D"/>
    <w:rsid w:val="000D7894"/>
    <w:rsid w:val="0010193C"/>
    <w:rsid w:val="0010776D"/>
    <w:rsid w:val="00116D9D"/>
    <w:rsid w:val="00176E7A"/>
    <w:rsid w:val="001975EC"/>
    <w:rsid w:val="001D3508"/>
    <w:rsid w:val="0020616F"/>
    <w:rsid w:val="0023254B"/>
    <w:rsid w:val="00260BEF"/>
    <w:rsid w:val="002650D0"/>
    <w:rsid w:val="002E34BC"/>
    <w:rsid w:val="002F19DC"/>
    <w:rsid w:val="002F4B6D"/>
    <w:rsid w:val="002F621B"/>
    <w:rsid w:val="002F6ACE"/>
    <w:rsid w:val="00312E91"/>
    <w:rsid w:val="00343E0E"/>
    <w:rsid w:val="00350811"/>
    <w:rsid w:val="0035744D"/>
    <w:rsid w:val="0036240B"/>
    <w:rsid w:val="00370D8A"/>
    <w:rsid w:val="0039287E"/>
    <w:rsid w:val="00396135"/>
    <w:rsid w:val="003A6591"/>
    <w:rsid w:val="00401C15"/>
    <w:rsid w:val="00404D82"/>
    <w:rsid w:val="004229B7"/>
    <w:rsid w:val="00443149"/>
    <w:rsid w:val="00461D86"/>
    <w:rsid w:val="00475B54"/>
    <w:rsid w:val="004B568D"/>
    <w:rsid w:val="004D7FF3"/>
    <w:rsid w:val="00531C34"/>
    <w:rsid w:val="005323F2"/>
    <w:rsid w:val="0053687D"/>
    <w:rsid w:val="0054313F"/>
    <w:rsid w:val="00577637"/>
    <w:rsid w:val="00583F89"/>
    <w:rsid w:val="00594767"/>
    <w:rsid w:val="005B05A2"/>
    <w:rsid w:val="005B0C75"/>
    <w:rsid w:val="005B7250"/>
    <w:rsid w:val="005F5BBF"/>
    <w:rsid w:val="00612AD6"/>
    <w:rsid w:val="00614CF5"/>
    <w:rsid w:val="00632834"/>
    <w:rsid w:val="00634889"/>
    <w:rsid w:val="00634E3A"/>
    <w:rsid w:val="0069750B"/>
    <w:rsid w:val="006B2DB2"/>
    <w:rsid w:val="006B68C1"/>
    <w:rsid w:val="006D0774"/>
    <w:rsid w:val="006D33DC"/>
    <w:rsid w:val="006F289E"/>
    <w:rsid w:val="007011A3"/>
    <w:rsid w:val="00707869"/>
    <w:rsid w:val="00724E6C"/>
    <w:rsid w:val="00726C10"/>
    <w:rsid w:val="0073725C"/>
    <w:rsid w:val="007725E2"/>
    <w:rsid w:val="00787226"/>
    <w:rsid w:val="007A78B2"/>
    <w:rsid w:val="007C17E6"/>
    <w:rsid w:val="007D5ED7"/>
    <w:rsid w:val="007E181C"/>
    <w:rsid w:val="007E4ABF"/>
    <w:rsid w:val="008010B6"/>
    <w:rsid w:val="0081479C"/>
    <w:rsid w:val="008328A6"/>
    <w:rsid w:val="00836DF0"/>
    <w:rsid w:val="008458FA"/>
    <w:rsid w:val="0088587C"/>
    <w:rsid w:val="008E0AA4"/>
    <w:rsid w:val="008E7D34"/>
    <w:rsid w:val="00936C9D"/>
    <w:rsid w:val="009627A2"/>
    <w:rsid w:val="00962F16"/>
    <w:rsid w:val="00987095"/>
    <w:rsid w:val="009A175F"/>
    <w:rsid w:val="009A4535"/>
    <w:rsid w:val="009C2132"/>
    <w:rsid w:val="009C5974"/>
    <w:rsid w:val="009C73AF"/>
    <w:rsid w:val="009F3073"/>
    <w:rsid w:val="00A1055C"/>
    <w:rsid w:val="00A12A24"/>
    <w:rsid w:val="00A27A97"/>
    <w:rsid w:val="00A4520D"/>
    <w:rsid w:val="00A62334"/>
    <w:rsid w:val="00A658A8"/>
    <w:rsid w:val="00A66532"/>
    <w:rsid w:val="00A861AA"/>
    <w:rsid w:val="00A9082A"/>
    <w:rsid w:val="00A91833"/>
    <w:rsid w:val="00AC29C0"/>
    <w:rsid w:val="00AE716B"/>
    <w:rsid w:val="00B10979"/>
    <w:rsid w:val="00B22944"/>
    <w:rsid w:val="00B6000A"/>
    <w:rsid w:val="00B60EF5"/>
    <w:rsid w:val="00B76BF1"/>
    <w:rsid w:val="00B902E5"/>
    <w:rsid w:val="00B930EB"/>
    <w:rsid w:val="00BA43BF"/>
    <w:rsid w:val="00BB21E6"/>
    <w:rsid w:val="00BD691C"/>
    <w:rsid w:val="00C31C7C"/>
    <w:rsid w:val="00C3375D"/>
    <w:rsid w:val="00C419A9"/>
    <w:rsid w:val="00C440A2"/>
    <w:rsid w:val="00C80F46"/>
    <w:rsid w:val="00CB351B"/>
    <w:rsid w:val="00CC05D6"/>
    <w:rsid w:val="00CD03A9"/>
    <w:rsid w:val="00CE1781"/>
    <w:rsid w:val="00CE4C4D"/>
    <w:rsid w:val="00CF208C"/>
    <w:rsid w:val="00CF48C1"/>
    <w:rsid w:val="00D17E39"/>
    <w:rsid w:val="00D30FE5"/>
    <w:rsid w:val="00D35A0B"/>
    <w:rsid w:val="00DA47FD"/>
    <w:rsid w:val="00DA5E06"/>
    <w:rsid w:val="00DB7B7F"/>
    <w:rsid w:val="00DD2C39"/>
    <w:rsid w:val="00E1232D"/>
    <w:rsid w:val="00E25240"/>
    <w:rsid w:val="00E31CD5"/>
    <w:rsid w:val="00E4217C"/>
    <w:rsid w:val="00E732A0"/>
    <w:rsid w:val="00E76522"/>
    <w:rsid w:val="00EC54C9"/>
    <w:rsid w:val="00ED185F"/>
    <w:rsid w:val="00EF7B63"/>
    <w:rsid w:val="00F16803"/>
    <w:rsid w:val="00F16A0B"/>
    <w:rsid w:val="00F243A2"/>
    <w:rsid w:val="00F30E41"/>
    <w:rsid w:val="00F44AD2"/>
    <w:rsid w:val="00F91E0C"/>
    <w:rsid w:val="00FA5E03"/>
    <w:rsid w:val="00FB5D32"/>
    <w:rsid w:val="00FB7FDB"/>
    <w:rsid w:val="00FF40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DA5E0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C73AF"/>
    <w:rPr>
      <w:color w:val="0000FF"/>
      <w:u w:val="single"/>
    </w:rPr>
  </w:style>
  <w:style w:type="paragraph" w:styleId="PlainText">
    <w:name w:val="Plain Text"/>
    <w:basedOn w:val="Normal"/>
    <w:link w:val="PlainTextChar"/>
    <w:uiPriority w:val="99"/>
    <w:unhideWhenUsed/>
    <w:rsid w:val="008458FA"/>
    <w:pPr>
      <w:spacing w:after="0" w:line="240" w:lineRule="auto"/>
    </w:pPr>
    <w:rPr>
      <w:rFonts w:ascii="Times New Roman" w:hAnsi="Times New Roman"/>
      <w:bCs/>
      <w:color w:val="000080"/>
      <w:sz w:val="24"/>
      <w:szCs w:val="24"/>
    </w:rPr>
  </w:style>
  <w:style w:type="character" w:customStyle="1" w:styleId="PlainTextChar">
    <w:name w:val="Plain Text Char"/>
    <w:link w:val="PlainText"/>
    <w:uiPriority w:val="99"/>
    <w:rsid w:val="008458FA"/>
    <w:rPr>
      <w:rFonts w:ascii="Times New Roman" w:eastAsia="Calibri" w:hAnsi="Times New Roman" w:cs="Times New Roman"/>
      <w:bCs/>
      <w:color w:val="000080"/>
      <w:sz w:val="24"/>
      <w:szCs w:val="24"/>
    </w:rPr>
  </w:style>
  <w:style w:type="paragraph" w:styleId="NormalWeb">
    <w:name w:val="Normal (Web)"/>
    <w:basedOn w:val="Normal"/>
    <w:uiPriority w:val="99"/>
    <w:semiHidden/>
    <w:unhideWhenUsed/>
    <w:rsid w:val="00024F90"/>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uiPriority w:val="1"/>
    <w:qFormat/>
    <w:rsid w:val="00632834"/>
    <w:rPr>
      <w:sz w:val="22"/>
      <w:szCs w:val="22"/>
    </w:rPr>
  </w:style>
  <w:style w:type="paragraph" w:styleId="ListParagraph">
    <w:name w:val="List Paragraph"/>
    <w:basedOn w:val="Normal"/>
    <w:uiPriority w:val="34"/>
    <w:qFormat/>
    <w:rsid w:val="00D17E39"/>
    <w:pPr>
      <w:ind w:left="720"/>
    </w:pPr>
  </w:style>
  <w:style w:type="paragraph" w:styleId="Header">
    <w:name w:val="header"/>
    <w:basedOn w:val="Normal"/>
    <w:link w:val="HeaderChar"/>
    <w:uiPriority w:val="99"/>
    <w:unhideWhenUsed/>
    <w:rsid w:val="00370D8A"/>
    <w:pPr>
      <w:tabs>
        <w:tab w:val="center" w:pos="4680"/>
        <w:tab w:val="right" w:pos="9360"/>
      </w:tabs>
    </w:pPr>
  </w:style>
  <w:style w:type="character" w:customStyle="1" w:styleId="HeaderChar">
    <w:name w:val="Header Char"/>
    <w:link w:val="Header"/>
    <w:uiPriority w:val="99"/>
    <w:rsid w:val="00370D8A"/>
    <w:rPr>
      <w:sz w:val="22"/>
      <w:szCs w:val="22"/>
    </w:rPr>
  </w:style>
  <w:style w:type="paragraph" w:styleId="Footer">
    <w:name w:val="footer"/>
    <w:basedOn w:val="Normal"/>
    <w:link w:val="FooterChar"/>
    <w:uiPriority w:val="99"/>
    <w:unhideWhenUsed/>
    <w:rsid w:val="00370D8A"/>
    <w:pPr>
      <w:tabs>
        <w:tab w:val="center" w:pos="4680"/>
        <w:tab w:val="right" w:pos="9360"/>
      </w:tabs>
    </w:pPr>
  </w:style>
  <w:style w:type="character" w:customStyle="1" w:styleId="FooterChar">
    <w:name w:val="Footer Char"/>
    <w:link w:val="Footer"/>
    <w:uiPriority w:val="99"/>
    <w:rsid w:val="00370D8A"/>
    <w:rPr>
      <w:sz w:val="22"/>
      <w:szCs w:val="22"/>
    </w:rPr>
  </w:style>
  <w:style w:type="character" w:styleId="CommentReference">
    <w:name w:val="annotation reference"/>
    <w:basedOn w:val="DefaultParagraphFont"/>
    <w:uiPriority w:val="99"/>
    <w:semiHidden/>
    <w:unhideWhenUsed/>
    <w:rsid w:val="00724E6C"/>
    <w:rPr>
      <w:sz w:val="16"/>
      <w:szCs w:val="16"/>
    </w:rPr>
  </w:style>
  <w:style w:type="paragraph" w:styleId="CommentText">
    <w:name w:val="annotation text"/>
    <w:basedOn w:val="Normal"/>
    <w:link w:val="CommentTextChar"/>
    <w:uiPriority w:val="99"/>
    <w:semiHidden/>
    <w:unhideWhenUsed/>
    <w:rsid w:val="00724E6C"/>
    <w:pPr>
      <w:spacing w:line="240" w:lineRule="auto"/>
    </w:pPr>
    <w:rPr>
      <w:sz w:val="20"/>
      <w:szCs w:val="20"/>
    </w:rPr>
  </w:style>
  <w:style w:type="character" w:customStyle="1" w:styleId="CommentTextChar">
    <w:name w:val="Comment Text Char"/>
    <w:basedOn w:val="DefaultParagraphFont"/>
    <w:link w:val="CommentText"/>
    <w:uiPriority w:val="99"/>
    <w:semiHidden/>
    <w:rsid w:val="00724E6C"/>
  </w:style>
  <w:style w:type="paragraph" w:styleId="CommentSubject">
    <w:name w:val="annotation subject"/>
    <w:basedOn w:val="CommentText"/>
    <w:next w:val="CommentText"/>
    <w:link w:val="CommentSubjectChar"/>
    <w:uiPriority w:val="99"/>
    <w:semiHidden/>
    <w:unhideWhenUsed/>
    <w:rsid w:val="00724E6C"/>
    <w:rPr>
      <w:b/>
      <w:bCs/>
    </w:rPr>
  </w:style>
  <w:style w:type="character" w:customStyle="1" w:styleId="CommentSubjectChar">
    <w:name w:val="Comment Subject Char"/>
    <w:basedOn w:val="CommentTextChar"/>
    <w:link w:val="CommentSubject"/>
    <w:uiPriority w:val="99"/>
    <w:semiHidden/>
    <w:rsid w:val="00724E6C"/>
    <w:rPr>
      <w:b/>
      <w:bCs/>
    </w:rPr>
  </w:style>
  <w:style w:type="paragraph" w:styleId="BalloonText">
    <w:name w:val="Balloon Text"/>
    <w:basedOn w:val="Normal"/>
    <w:link w:val="BalloonTextChar"/>
    <w:uiPriority w:val="99"/>
    <w:semiHidden/>
    <w:unhideWhenUsed/>
    <w:rsid w:val="00724E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4E6C"/>
    <w:rPr>
      <w:rFonts w:ascii="Segoe UI" w:hAnsi="Segoe UI" w:cs="Segoe UI"/>
      <w:sz w:val="18"/>
      <w:szCs w:val="18"/>
    </w:rPr>
  </w:style>
  <w:style w:type="character" w:styleId="FollowedHyperlink">
    <w:name w:val="FollowedHyperlink"/>
    <w:basedOn w:val="DefaultParagraphFont"/>
    <w:uiPriority w:val="99"/>
    <w:semiHidden/>
    <w:unhideWhenUsed/>
    <w:rsid w:val="00A658A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DA5E0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C73AF"/>
    <w:rPr>
      <w:color w:val="0000FF"/>
      <w:u w:val="single"/>
    </w:rPr>
  </w:style>
  <w:style w:type="paragraph" w:styleId="PlainText">
    <w:name w:val="Plain Text"/>
    <w:basedOn w:val="Normal"/>
    <w:link w:val="PlainTextChar"/>
    <w:uiPriority w:val="99"/>
    <w:unhideWhenUsed/>
    <w:rsid w:val="008458FA"/>
    <w:pPr>
      <w:spacing w:after="0" w:line="240" w:lineRule="auto"/>
    </w:pPr>
    <w:rPr>
      <w:rFonts w:ascii="Times New Roman" w:hAnsi="Times New Roman"/>
      <w:bCs/>
      <w:color w:val="000080"/>
      <w:sz w:val="24"/>
      <w:szCs w:val="24"/>
    </w:rPr>
  </w:style>
  <w:style w:type="character" w:customStyle="1" w:styleId="PlainTextChar">
    <w:name w:val="Plain Text Char"/>
    <w:link w:val="PlainText"/>
    <w:uiPriority w:val="99"/>
    <w:rsid w:val="008458FA"/>
    <w:rPr>
      <w:rFonts w:ascii="Times New Roman" w:eastAsia="Calibri" w:hAnsi="Times New Roman" w:cs="Times New Roman"/>
      <w:bCs/>
      <w:color w:val="000080"/>
      <w:sz w:val="24"/>
      <w:szCs w:val="24"/>
    </w:rPr>
  </w:style>
  <w:style w:type="paragraph" w:styleId="NormalWeb">
    <w:name w:val="Normal (Web)"/>
    <w:basedOn w:val="Normal"/>
    <w:uiPriority w:val="99"/>
    <w:semiHidden/>
    <w:unhideWhenUsed/>
    <w:rsid w:val="00024F90"/>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uiPriority w:val="1"/>
    <w:qFormat/>
    <w:rsid w:val="00632834"/>
    <w:rPr>
      <w:sz w:val="22"/>
      <w:szCs w:val="22"/>
    </w:rPr>
  </w:style>
  <w:style w:type="paragraph" w:styleId="ListParagraph">
    <w:name w:val="List Paragraph"/>
    <w:basedOn w:val="Normal"/>
    <w:uiPriority w:val="34"/>
    <w:qFormat/>
    <w:rsid w:val="00D17E39"/>
    <w:pPr>
      <w:ind w:left="720"/>
    </w:pPr>
  </w:style>
  <w:style w:type="paragraph" w:styleId="Header">
    <w:name w:val="header"/>
    <w:basedOn w:val="Normal"/>
    <w:link w:val="HeaderChar"/>
    <w:uiPriority w:val="99"/>
    <w:unhideWhenUsed/>
    <w:rsid w:val="00370D8A"/>
    <w:pPr>
      <w:tabs>
        <w:tab w:val="center" w:pos="4680"/>
        <w:tab w:val="right" w:pos="9360"/>
      </w:tabs>
    </w:pPr>
  </w:style>
  <w:style w:type="character" w:customStyle="1" w:styleId="HeaderChar">
    <w:name w:val="Header Char"/>
    <w:link w:val="Header"/>
    <w:uiPriority w:val="99"/>
    <w:rsid w:val="00370D8A"/>
    <w:rPr>
      <w:sz w:val="22"/>
      <w:szCs w:val="22"/>
    </w:rPr>
  </w:style>
  <w:style w:type="paragraph" w:styleId="Footer">
    <w:name w:val="footer"/>
    <w:basedOn w:val="Normal"/>
    <w:link w:val="FooterChar"/>
    <w:uiPriority w:val="99"/>
    <w:unhideWhenUsed/>
    <w:rsid w:val="00370D8A"/>
    <w:pPr>
      <w:tabs>
        <w:tab w:val="center" w:pos="4680"/>
        <w:tab w:val="right" w:pos="9360"/>
      </w:tabs>
    </w:pPr>
  </w:style>
  <w:style w:type="character" w:customStyle="1" w:styleId="FooterChar">
    <w:name w:val="Footer Char"/>
    <w:link w:val="Footer"/>
    <w:uiPriority w:val="99"/>
    <w:rsid w:val="00370D8A"/>
    <w:rPr>
      <w:sz w:val="22"/>
      <w:szCs w:val="22"/>
    </w:rPr>
  </w:style>
  <w:style w:type="character" w:styleId="CommentReference">
    <w:name w:val="annotation reference"/>
    <w:basedOn w:val="DefaultParagraphFont"/>
    <w:uiPriority w:val="99"/>
    <w:semiHidden/>
    <w:unhideWhenUsed/>
    <w:rsid w:val="00724E6C"/>
    <w:rPr>
      <w:sz w:val="16"/>
      <w:szCs w:val="16"/>
    </w:rPr>
  </w:style>
  <w:style w:type="paragraph" w:styleId="CommentText">
    <w:name w:val="annotation text"/>
    <w:basedOn w:val="Normal"/>
    <w:link w:val="CommentTextChar"/>
    <w:uiPriority w:val="99"/>
    <w:semiHidden/>
    <w:unhideWhenUsed/>
    <w:rsid w:val="00724E6C"/>
    <w:pPr>
      <w:spacing w:line="240" w:lineRule="auto"/>
    </w:pPr>
    <w:rPr>
      <w:sz w:val="20"/>
      <w:szCs w:val="20"/>
    </w:rPr>
  </w:style>
  <w:style w:type="character" w:customStyle="1" w:styleId="CommentTextChar">
    <w:name w:val="Comment Text Char"/>
    <w:basedOn w:val="DefaultParagraphFont"/>
    <w:link w:val="CommentText"/>
    <w:uiPriority w:val="99"/>
    <w:semiHidden/>
    <w:rsid w:val="00724E6C"/>
  </w:style>
  <w:style w:type="paragraph" w:styleId="CommentSubject">
    <w:name w:val="annotation subject"/>
    <w:basedOn w:val="CommentText"/>
    <w:next w:val="CommentText"/>
    <w:link w:val="CommentSubjectChar"/>
    <w:uiPriority w:val="99"/>
    <w:semiHidden/>
    <w:unhideWhenUsed/>
    <w:rsid w:val="00724E6C"/>
    <w:rPr>
      <w:b/>
      <w:bCs/>
    </w:rPr>
  </w:style>
  <w:style w:type="character" w:customStyle="1" w:styleId="CommentSubjectChar">
    <w:name w:val="Comment Subject Char"/>
    <w:basedOn w:val="CommentTextChar"/>
    <w:link w:val="CommentSubject"/>
    <w:uiPriority w:val="99"/>
    <w:semiHidden/>
    <w:rsid w:val="00724E6C"/>
    <w:rPr>
      <w:b/>
      <w:bCs/>
    </w:rPr>
  </w:style>
  <w:style w:type="paragraph" w:styleId="BalloonText">
    <w:name w:val="Balloon Text"/>
    <w:basedOn w:val="Normal"/>
    <w:link w:val="BalloonTextChar"/>
    <w:uiPriority w:val="99"/>
    <w:semiHidden/>
    <w:unhideWhenUsed/>
    <w:rsid w:val="00724E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4E6C"/>
    <w:rPr>
      <w:rFonts w:ascii="Segoe UI" w:hAnsi="Segoe UI" w:cs="Segoe UI"/>
      <w:sz w:val="18"/>
      <w:szCs w:val="18"/>
    </w:rPr>
  </w:style>
  <w:style w:type="character" w:styleId="FollowedHyperlink">
    <w:name w:val="FollowedHyperlink"/>
    <w:basedOn w:val="DefaultParagraphFont"/>
    <w:uiPriority w:val="99"/>
    <w:semiHidden/>
    <w:unhideWhenUsed/>
    <w:rsid w:val="00A658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117735">
      <w:bodyDiv w:val="1"/>
      <w:marLeft w:val="0"/>
      <w:marRight w:val="0"/>
      <w:marTop w:val="0"/>
      <w:marBottom w:val="0"/>
      <w:divBdr>
        <w:top w:val="none" w:sz="0" w:space="0" w:color="auto"/>
        <w:left w:val="none" w:sz="0" w:space="0" w:color="auto"/>
        <w:bottom w:val="none" w:sz="0" w:space="0" w:color="auto"/>
        <w:right w:val="none" w:sz="0" w:space="0" w:color="auto"/>
      </w:divBdr>
    </w:div>
    <w:div w:id="1243833820">
      <w:bodyDiv w:val="1"/>
      <w:marLeft w:val="0"/>
      <w:marRight w:val="0"/>
      <w:marTop w:val="0"/>
      <w:marBottom w:val="0"/>
      <w:divBdr>
        <w:top w:val="none" w:sz="0" w:space="0" w:color="auto"/>
        <w:left w:val="none" w:sz="0" w:space="0" w:color="auto"/>
        <w:bottom w:val="none" w:sz="0" w:space="0" w:color="auto"/>
        <w:right w:val="none" w:sz="0" w:space="0" w:color="auto"/>
      </w:divBdr>
    </w:div>
    <w:div w:id="1781990640">
      <w:bodyDiv w:val="1"/>
      <w:marLeft w:val="0"/>
      <w:marRight w:val="0"/>
      <w:marTop w:val="0"/>
      <w:marBottom w:val="0"/>
      <w:divBdr>
        <w:top w:val="none" w:sz="0" w:space="0" w:color="auto"/>
        <w:left w:val="none" w:sz="0" w:space="0" w:color="auto"/>
        <w:bottom w:val="none" w:sz="0" w:space="0" w:color="auto"/>
        <w:right w:val="none" w:sz="0" w:space="0" w:color="auto"/>
      </w:divBdr>
    </w:div>
    <w:div w:id="1986742835">
      <w:bodyDiv w:val="1"/>
      <w:marLeft w:val="0"/>
      <w:marRight w:val="0"/>
      <w:marTop w:val="0"/>
      <w:marBottom w:val="0"/>
      <w:divBdr>
        <w:top w:val="none" w:sz="0" w:space="0" w:color="auto"/>
        <w:left w:val="none" w:sz="0" w:space="0" w:color="auto"/>
        <w:bottom w:val="none" w:sz="0" w:space="0" w:color="auto"/>
        <w:right w:val="none" w:sz="0" w:space="0" w:color="auto"/>
      </w:divBdr>
    </w:div>
    <w:div w:id="2117434654">
      <w:bodyDiv w:val="1"/>
      <w:marLeft w:val="0"/>
      <w:marRight w:val="0"/>
      <w:marTop w:val="0"/>
      <w:marBottom w:val="0"/>
      <w:divBdr>
        <w:top w:val="none" w:sz="0" w:space="0" w:color="auto"/>
        <w:left w:val="none" w:sz="0" w:space="0" w:color="auto"/>
        <w:bottom w:val="none" w:sz="0" w:space="0" w:color="auto"/>
        <w:right w:val="none" w:sz="0" w:space="0" w:color="auto"/>
      </w:divBdr>
      <w:divsChild>
        <w:div w:id="279269018">
          <w:marLeft w:val="0"/>
          <w:marRight w:val="0"/>
          <w:marTop w:val="0"/>
          <w:marBottom w:val="0"/>
          <w:divBdr>
            <w:top w:val="none" w:sz="0" w:space="0" w:color="auto"/>
            <w:left w:val="none" w:sz="0" w:space="0" w:color="auto"/>
            <w:bottom w:val="none" w:sz="0" w:space="0" w:color="auto"/>
            <w:right w:val="none" w:sz="0" w:space="0" w:color="auto"/>
          </w:divBdr>
        </w:div>
        <w:div w:id="170081848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sopw.gov/" TargetMode="External"/><Relationship Id="rId18" Type="http://schemas.openxmlformats.org/officeDocument/2006/relationships/hyperlink" Target="http://in.gov/dcs/2372.ht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crimewatch.net/indiana.php" TargetMode="External"/><Relationship Id="rId17" Type="http://schemas.openxmlformats.org/officeDocument/2006/relationships/hyperlink" Target="http://www.ccld.ca.gov/AdamWalshI_2609.htm" TargetMode="External"/><Relationship Id="rId2" Type="http://schemas.openxmlformats.org/officeDocument/2006/relationships/numbering" Target="numbering.xml"/><Relationship Id="rId16" Type="http://schemas.openxmlformats.org/officeDocument/2006/relationships/hyperlink" Target="http://www.ccld.ca.gov/res/pdf/Revised%20AW_Contact_List.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bi.gov/hq/cjisd/iafis.htm" TargetMode="External"/><Relationship Id="rId5" Type="http://schemas.openxmlformats.org/officeDocument/2006/relationships/settings" Target="settings.xml"/><Relationship Id="rId15" Type="http://schemas.openxmlformats.org/officeDocument/2006/relationships/hyperlink" Target="mailto:doe.cpichecks@dcs.in.gov" TargetMode="External"/><Relationship Id="rId10" Type="http://schemas.openxmlformats.org/officeDocument/2006/relationships/hyperlink" Target="http://www.fbi.gov/hq/cid/cac/registry.ht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identogo.com/Home.aspx" TargetMode="External"/><Relationship Id="rId14" Type="http://schemas.openxmlformats.org/officeDocument/2006/relationships/hyperlink" Target="http://www.in.gov/dcs/2363.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E7A76B-4FA5-424F-AEFD-77EB6F8C9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2915</Words>
  <Characters>16620</Characters>
  <Application>Microsoft Office Word</Application>
  <DocSecurity>4</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19497</CharactersWithSpaces>
  <SharedDoc>false</SharedDoc>
  <HLinks>
    <vt:vector size="30" baseType="variant">
      <vt:variant>
        <vt:i4>4980754</vt:i4>
      </vt:variant>
      <vt:variant>
        <vt:i4>12</vt:i4>
      </vt:variant>
      <vt:variant>
        <vt:i4>0</vt:i4>
      </vt:variant>
      <vt:variant>
        <vt:i4>5</vt:i4>
      </vt:variant>
      <vt:variant>
        <vt:lpwstr>http://www.nsopw.gov/</vt:lpwstr>
      </vt:variant>
      <vt:variant>
        <vt:lpwstr/>
      </vt:variant>
      <vt:variant>
        <vt:i4>2162806</vt:i4>
      </vt:variant>
      <vt:variant>
        <vt:i4>9</vt:i4>
      </vt:variant>
      <vt:variant>
        <vt:i4>0</vt:i4>
      </vt:variant>
      <vt:variant>
        <vt:i4>5</vt:i4>
      </vt:variant>
      <vt:variant>
        <vt:lpwstr>http://www.icrimewatch.net/indiana.php</vt:lpwstr>
      </vt:variant>
      <vt:variant>
        <vt:lpwstr/>
      </vt:variant>
      <vt:variant>
        <vt:i4>1441879</vt:i4>
      </vt:variant>
      <vt:variant>
        <vt:i4>6</vt:i4>
      </vt:variant>
      <vt:variant>
        <vt:i4>0</vt:i4>
      </vt:variant>
      <vt:variant>
        <vt:i4>5</vt:i4>
      </vt:variant>
      <vt:variant>
        <vt:lpwstr>http://www.fbi.gov/hq/cjisd/iafis.htm</vt:lpwstr>
      </vt:variant>
      <vt:variant>
        <vt:lpwstr/>
      </vt:variant>
      <vt:variant>
        <vt:i4>8257636</vt:i4>
      </vt:variant>
      <vt:variant>
        <vt:i4>3</vt:i4>
      </vt:variant>
      <vt:variant>
        <vt:i4>0</vt:i4>
      </vt:variant>
      <vt:variant>
        <vt:i4>5</vt:i4>
      </vt:variant>
      <vt:variant>
        <vt:lpwstr>http://www.fbi.gov/hq/cid/cac/registry.htm</vt:lpwstr>
      </vt:variant>
      <vt:variant>
        <vt:lpwstr/>
      </vt:variant>
      <vt:variant>
        <vt:i4>4259852</vt:i4>
      </vt:variant>
      <vt:variant>
        <vt:i4>0</vt:i4>
      </vt:variant>
      <vt:variant>
        <vt:i4>0</vt:i4>
      </vt:variant>
      <vt:variant>
        <vt:i4>5</vt:i4>
      </vt:variant>
      <vt:variant>
        <vt:lpwstr>http://www.identogo.com/Home.aspx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Risa Regnier</dc:creator>
  <cp:lastModifiedBy>Zimmerman, Andrea</cp:lastModifiedBy>
  <cp:revision>2</cp:revision>
  <cp:lastPrinted>2016-05-20T12:28:00Z</cp:lastPrinted>
  <dcterms:created xsi:type="dcterms:W3CDTF">2016-06-08T19:30:00Z</dcterms:created>
  <dcterms:modified xsi:type="dcterms:W3CDTF">2016-06-08T19:30:00Z</dcterms:modified>
</cp:coreProperties>
</file>