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CD" w:rsidRDefault="00020AA7">
      <w:bookmarkStart w:id="0" w:name="_GoBack"/>
      <w:bookmarkEnd w:id="0"/>
      <w:r>
        <w:rPr>
          <w:noProof/>
        </w:rPr>
        <w:drawing>
          <wp:inline distT="0" distB="0" distL="0" distR="0" wp14:anchorId="755F2F07" wp14:editId="02B17D31">
            <wp:extent cx="5943600" cy="13995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399540"/>
                    </a:xfrm>
                    <a:prstGeom prst="rect">
                      <a:avLst/>
                    </a:prstGeom>
                  </pic:spPr>
                </pic:pic>
              </a:graphicData>
            </a:graphic>
          </wp:inline>
        </w:drawing>
      </w:r>
    </w:p>
    <w:p w:rsidR="00020AA7" w:rsidRPr="008B5825" w:rsidRDefault="00020AA7" w:rsidP="00020AA7">
      <w:pPr>
        <w:pStyle w:val="NoSpacing"/>
        <w:rPr>
          <w:sz w:val="40"/>
          <w:szCs w:val="40"/>
        </w:rPr>
      </w:pPr>
      <w:r>
        <w:t xml:space="preserve">To:    </w:t>
      </w:r>
      <w:r>
        <w:tab/>
        <w:t>Public School Superintendents, Charter School Principals</w:t>
      </w:r>
    </w:p>
    <w:p w:rsidR="00020AA7" w:rsidRDefault="00020AA7" w:rsidP="00020AA7">
      <w:r>
        <w:t xml:space="preserve">         </w:t>
      </w:r>
      <w:r>
        <w:tab/>
      </w:r>
      <w:r w:rsidR="00C303AF">
        <w:t>and Non-Public School Principals</w:t>
      </w:r>
    </w:p>
    <w:p w:rsidR="00020AA7" w:rsidRDefault="00020AA7" w:rsidP="00020AA7">
      <w:pPr>
        <w:pStyle w:val="NoSpacing"/>
      </w:pPr>
      <w:r>
        <w:t xml:space="preserve">From: </w:t>
      </w:r>
      <w:r>
        <w:tab/>
        <w:t xml:space="preserve"> Risa A. Regnier, Assistant Superintendent</w:t>
      </w:r>
    </w:p>
    <w:p w:rsidR="00020AA7" w:rsidRDefault="00020AA7" w:rsidP="00020AA7">
      <w:pPr>
        <w:pStyle w:val="NoSpacing"/>
      </w:pPr>
      <w:r>
        <w:t xml:space="preserve">          </w:t>
      </w:r>
      <w:r>
        <w:tab/>
        <w:t>Center for School Achievement and Support Services</w:t>
      </w:r>
    </w:p>
    <w:p w:rsidR="00020AA7" w:rsidRDefault="00020AA7" w:rsidP="00020AA7">
      <w:pPr>
        <w:pStyle w:val="NoSpacing"/>
      </w:pPr>
    </w:p>
    <w:p w:rsidR="00020AA7" w:rsidRDefault="00020AA7" w:rsidP="00020AA7">
      <w:pPr>
        <w:pStyle w:val="NoSpacing"/>
      </w:pPr>
      <w:r>
        <w:t xml:space="preserve">Date: </w:t>
      </w:r>
      <w:r>
        <w:tab/>
        <w:t xml:space="preserve"> June </w:t>
      </w:r>
      <w:r w:rsidR="00BB5FBF">
        <w:t>8</w:t>
      </w:r>
      <w:r>
        <w:t>, 201</w:t>
      </w:r>
      <w:r w:rsidR="00C303AF">
        <w:t>6</w:t>
      </w:r>
    </w:p>
    <w:p w:rsidR="00020AA7" w:rsidRDefault="00020AA7" w:rsidP="00020AA7">
      <w:pPr>
        <w:pStyle w:val="NoSpacing"/>
      </w:pPr>
    </w:p>
    <w:p w:rsidR="00020AA7" w:rsidRDefault="00AC6B39" w:rsidP="00AC6B39">
      <w:pPr>
        <w:pStyle w:val="NoSpacing"/>
        <w:ind w:left="720" w:hanging="720"/>
      </w:pPr>
      <w:r>
        <w:t xml:space="preserve">Re:  </w:t>
      </w:r>
      <w:r>
        <w:tab/>
        <w:t xml:space="preserve">Legislative expansion of school employer required background check policies and addition </w:t>
      </w:r>
      <w:r w:rsidR="00096DF8">
        <w:t>of expanded child protection index checks</w:t>
      </w:r>
      <w:r w:rsidR="007F0307">
        <w:t xml:space="preserve"> </w:t>
      </w:r>
      <w:r>
        <w:t>for school employees (certified and noncertified)</w:t>
      </w:r>
      <w:r w:rsidR="007F0307">
        <w:t xml:space="preserve">; use of information obtained through an expanded child protection index check; </w:t>
      </w:r>
      <w:r w:rsidR="000E41D0">
        <w:t>employee self-reporting of substantiated reports of child abuse or neglect</w:t>
      </w:r>
      <w:r w:rsidR="00586BE8">
        <w:t>; confidentiality agreements</w:t>
      </w:r>
      <w:r w:rsidR="000E41D0">
        <w:t xml:space="preserve">. </w:t>
      </w:r>
      <w:r w:rsidR="007F0307">
        <w:t xml:space="preserve"> </w:t>
      </w:r>
      <w:r>
        <w:t xml:space="preserve"> </w:t>
      </w:r>
    </w:p>
    <w:p w:rsidR="00020AA7" w:rsidRPr="007F3923" w:rsidRDefault="00020AA7" w:rsidP="00020AA7">
      <w:pPr>
        <w:pStyle w:val="NoSpacing"/>
        <w:rPr>
          <w:sz w:val="20"/>
          <w:szCs w:val="20"/>
        </w:rPr>
      </w:pPr>
    </w:p>
    <w:p w:rsidR="007F3923" w:rsidRPr="007F3923" w:rsidRDefault="007F3923" w:rsidP="00020AA7">
      <w:pPr>
        <w:autoSpaceDE w:val="0"/>
        <w:autoSpaceDN w:val="0"/>
        <w:adjustRightInd w:val="0"/>
        <w:spacing w:after="0" w:line="240" w:lineRule="auto"/>
        <w:rPr>
          <w:rFonts w:eastAsia="Times New Roman" w:cs="Times New Roman"/>
          <w:bCs/>
          <w:color w:val="000000"/>
        </w:rPr>
      </w:pPr>
      <w:r w:rsidRPr="007F3923">
        <w:rPr>
          <w:rFonts w:eastAsia="Times New Roman" w:cs="Times New Roman"/>
          <w:bCs/>
          <w:color w:val="000000"/>
          <w:u w:val="single"/>
        </w:rPr>
        <w:t>Background</w:t>
      </w:r>
      <w:r w:rsidRPr="007F3923">
        <w:rPr>
          <w:rFonts w:eastAsia="Times New Roman" w:cs="Times New Roman"/>
          <w:bCs/>
          <w:color w:val="000000"/>
        </w:rPr>
        <w:t xml:space="preserve">: </w:t>
      </w:r>
    </w:p>
    <w:p w:rsidR="007F3923" w:rsidRPr="007F3923" w:rsidRDefault="007F3923" w:rsidP="00020AA7">
      <w:pPr>
        <w:autoSpaceDE w:val="0"/>
        <w:autoSpaceDN w:val="0"/>
        <w:adjustRightInd w:val="0"/>
        <w:spacing w:after="0" w:line="240" w:lineRule="auto"/>
        <w:rPr>
          <w:rFonts w:eastAsia="Times New Roman" w:cs="Times New Roman"/>
          <w:bCs/>
          <w:color w:val="000000"/>
        </w:rPr>
      </w:pPr>
    </w:p>
    <w:p w:rsidR="00020AA7" w:rsidRPr="007F3923" w:rsidRDefault="00020AA7" w:rsidP="00020AA7">
      <w:pPr>
        <w:autoSpaceDE w:val="0"/>
        <w:autoSpaceDN w:val="0"/>
        <w:adjustRightInd w:val="0"/>
        <w:spacing w:after="0" w:line="240" w:lineRule="auto"/>
        <w:rPr>
          <w:rFonts w:eastAsia="Times New Roman" w:cs="Times New Roman"/>
          <w:bCs/>
          <w:color w:val="000000"/>
        </w:rPr>
      </w:pPr>
      <w:r w:rsidRPr="007F3923">
        <w:rPr>
          <w:rFonts w:eastAsia="Times New Roman" w:cs="Times New Roman"/>
          <w:bCs/>
          <w:color w:val="000000"/>
        </w:rPr>
        <w:t>In 2009 the Indiana General Assembly enacted I</w:t>
      </w:r>
      <w:r w:rsidR="000E41D0">
        <w:rPr>
          <w:rFonts w:eastAsia="Times New Roman" w:cs="Times New Roman"/>
          <w:bCs/>
          <w:color w:val="000000"/>
        </w:rPr>
        <w:t xml:space="preserve">C </w:t>
      </w:r>
      <w:r w:rsidRPr="007F3923">
        <w:rPr>
          <w:rFonts w:eastAsia="Times New Roman" w:cs="Times New Roman"/>
          <w:bCs/>
          <w:color w:val="000000"/>
        </w:rPr>
        <w:t>20-26-5-10 requir</w:t>
      </w:r>
      <w:r w:rsidR="000E41D0">
        <w:rPr>
          <w:rFonts w:eastAsia="Times New Roman" w:cs="Times New Roman"/>
          <w:bCs/>
          <w:color w:val="000000"/>
        </w:rPr>
        <w:t>ing</w:t>
      </w:r>
      <w:r w:rsidRPr="007F3923">
        <w:rPr>
          <w:rFonts w:eastAsia="Times New Roman" w:cs="Times New Roman"/>
          <w:bCs/>
          <w:color w:val="000000"/>
        </w:rPr>
        <w:t xml:space="preserve"> all school corporations, charter schools and accredited nonpublic schools to adopt and administer a policy as of July 1, 2009 requiring each applicant for noncertified or certificated employment to obtain an expanded criminal history check. The definition of “expanded criminal history check” found at IC 20-26-2-1.5 includes a search of records from all Indiana counties in which the applicant resided, all counties in other states in which the applicant resided, and the national sex offender registry or the sex offender registries of all fifty (50) states; or a national criminal history background check and a search of the national sex offender registry or the sex offender registries of all fifty (50) states. </w:t>
      </w:r>
    </w:p>
    <w:p w:rsidR="00020AA7" w:rsidRPr="007F3923" w:rsidRDefault="00020AA7" w:rsidP="00020AA7">
      <w:pPr>
        <w:autoSpaceDE w:val="0"/>
        <w:autoSpaceDN w:val="0"/>
        <w:adjustRightInd w:val="0"/>
        <w:spacing w:after="0" w:line="240" w:lineRule="auto"/>
        <w:rPr>
          <w:rFonts w:eastAsia="Times New Roman" w:cs="Times New Roman"/>
          <w:bCs/>
          <w:color w:val="000000"/>
        </w:rPr>
      </w:pPr>
    </w:p>
    <w:p w:rsidR="00020AA7" w:rsidRPr="007F3923" w:rsidRDefault="000E41D0" w:rsidP="00020AA7">
      <w:pPr>
        <w:autoSpaceDE w:val="0"/>
        <w:autoSpaceDN w:val="0"/>
        <w:adjustRightInd w:val="0"/>
        <w:spacing w:after="0" w:line="240" w:lineRule="auto"/>
        <w:rPr>
          <w:rFonts w:eastAsia="Times New Roman" w:cs="Times New Roman"/>
          <w:bCs/>
          <w:color w:val="000000"/>
        </w:rPr>
      </w:pPr>
      <w:r>
        <w:rPr>
          <w:rFonts w:eastAsia="Times New Roman" w:cs="Times New Roman"/>
          <w:bCs/>
          <w:color w:val="000000"/>
        </w:rPr>
        <w:t xml:space="preserve">In </w:t>
      </w:r>
      <w:r w:rsidR="00020AA7" w:rsidRPr="007F3923">
        <w:rPr>
          <w:rFonts w:eastAsia="Times New Roman" w:cs="Times New Roman"/>
          <w:bCs/>
          <w:color w:val="000000"/>
        </w:rPr>
        <w:t>2015</w:t>
      </w:r>
      <w:r>
        <w:rPr>
          <w:rFonts w:eastAsia="Times New Roman" w:cs="Times New Roman"/>
          <w:bCs/>
          <w:color w:val="000000"/>
        </w:rPr>
        <w:t xml:space="preserve"> the </w:t>
      </w:r>
      <w:r w:rsidR="00020AA7" w:rsidRPr="007F3923">
        <w:rPr>
          <w:rFonts w:eastAsia="Times New Roman" w:cs="Times New Roman"/>
          <w:bCs/>
          <w:color w:val="000000"/>
        </w:rPr>
        <w:t xml:space="preserve">General Assembly </w:t>
      </w:r>
      <w:r w:rsidR="00C676C7" w:rsidRPr="007F3923">
        <w:rPr>
          <w:rFonts w:eastAsia="Times New Roman" w:cs="Times New Roman"/>
          <w:bCs/>
          <w:color w:val="000000"/>
        </w:rPr>
        <w:t xml:space="preserve">passed HEA 1068 which </w:t>
      </w:r>
      <w:r w:rsidR="00020AA7" w:rsidRPr="007F3923">
        <w:rPr>
          <w:rFonts w:eastAsia="Times New Roman" w:cs="Times New Roman"/>
          <w:bCs/>
          <w:color w:val="000000"/>
        </w:rPr>
        <w:t xml:space="preserve">amended </w:t>
      </w:r>
      <w:r w:rsidR="00784722" w:rsidRPr="007F3923">
        <w:rPr>
          <w:rFonts w:eastAsia="Times New Roman" w:cs="Times New Roman"/>
          <w:bCs/>
          <w:color w:val="000000"/>
        </w:rPr>
        <w:t xml:space="preserve">requirements for an </w:t>
      </w:r>
      <w:r w:rsidR="00020AA7" w:rsidRPr="007F3923">
        <w:rPr>
          <w:rFonts w:eastAsia="Times New Roman" w:cs="Times New Roman"/>
          <w:bCs/>
          <w:color w:val="000000"/>
        </w:rPr>
        <w:t xml:space="preserve">“expanded criminal history check” </w:t>
      </w:r>
      <w:r w:rsidR="005E5AEF" w:rsidRPr="007F3923">
        <w:rPr>
          <w:rFonts w:eastAsia="Times New Roman" w:cs="Times New Roman"/>
          <w:bCs/>
          <w:color w:val="000000"/>
        </w:rPr>
        <w:t>to include a verification of the applicant’s identity, a search of all names associated with the applicant and, if the expanded criminal history check is public records</w:t>
      </w:r>
      <w:r w:rsidR="00784722" w:rsidRPr="007F3923">
        <w:rPr>
          <w:rFonts w:eastAsia="Times New Roman" w:cs="Times New Roman"/>
          <w:bCs/>
          <w:color w:val="000000"/>
        </w:rPr>
        <w:t xml:space="preserve"> </w:t>
      </w:r>
      <w:r w:rsidR="005E5AEF" w:rsidRPr="007F3923">
        <w:rPr>
          <w:rFonts w:eastAsia="Times New Roman" w:cs="Times New Roman"/>
          <w:bCs/>
          <w:color w:val="000000"/>
        </w:rPr>
        <w:t xml:space="preserve">based, expanded the </w:t>
      </w:r>
      <w:r w:rsidR="00784722" w:rsidRPr="007F3923">
        <w:rPr>
          <w:rFonts w:eastAsia="Times New Roman" w:cs="Times New Roman"/>
          <w:bCs/>
          <w:color w:val="000000"/>
        </w:rPr>
        <w:t xml:space="preserve">public records </w:t>
      </w:r>
      <w:r w:rsidR="005E5AEF" w:rsidRPr="007F3923">
        <w:rPr>
          <w:rFonts w:eastAsia="Times New Roman" w:cs="Times New Roman"/>
          <w:bCs/>
          <w:color w:val="000000"/>
        </w:rPr>
        <w:t>search to include United States district court records from the districts where the applicant resided and a multistate criminal data base search</w:t>
      </w:r>
      <w:r w:rsidR="00784722" w:rsidRPr="007F3923">
        <w:rPr>
          <w:rFonts w:eastAsia="Times New Roman" w:cs="Times New Roman"/>
          <w:bCs/>
          <w:color w:val="000000"/>
        </w:rPr>
        <w:t xml:space="preserve">.  Expanded criminal history checks can also be fingerprint based (as defined in IC 10-13-3-12) and must include a check of sex offender registries in all fifty (50) states or the national sex offender registry maintained by the United States Department of Justice.  </w:t>
      </w:r>
    </w:p>
    <w:p w:rsidR="00C303AF" w:rsidRPr="007F3923" w:rsidRDefault="00C303AF" w:rsidP="00020AA7">
      <w:pPr>
        <w:autoSpaceDE w:val="0"/>
        <w:autoSpaceDN w:val="0"/>
        <w:adjustRightInd w:val="0"/>
        <w:spacing w:after="0" w:line="240" w:lineRule="auto"/>
        <w:rPr>
          <w:rFonts w:ascii="Gill Sans MT" w:eastAsia="Times New Roman" w:hAnsi="Gill Sans MT" w:cs="Times New Roman"/>
          <w:bCs/>
          <w:color w:val="000000"/>
          <w:sz w:val="20"/>
          <w:szCs w:val="20"/>
        </w:rPr>
      </w:pPr>
    </w:p>
    <w:p w:rsidR="007F3923" w:rsidRDefault="007F3923" w:rsidP="00020AA7">
      <w:pPr>
        <w:autoSpaceDE w:val="0"/>
        <w:autoSpaceDN w:val="0"/>
        <w:adjustRightInd w:val="0"/>
        <w:spacing w:after="0" w:line="240" w:lineRule="auto"/>
        <w:rPr>
          <w:rFonts w:eastAsia="Times New Roman" w:cs="Times New Roman"/>
          <w:bCs/>
          <w:color w:val="000000"/>
        </w:rPr>
      </w:pPr>
      <w:r w:rsidRPr="007F3923">
        <w:rPr>
          <w:rFonts w:eastAsia="Times New Roman" w:cs="Times New Roman"/>
          <w:bCs/>
          <w:color w:val="000000"/>
          <w:u w:val="single"/>
        </w:rPr>
        <w:t>2016 General Assembly action</w:t>
      </w:r>
      <w:r w:rsidRPr="007F3923">
        <w:rPr>
          <w:rFonts w:eastAsia="Times New Roman" w:cs="Times New Roman"/>
          <w:bCs/>
          <w:color w:val="000000"/>
        </w:rPr>
        <w:t xml:space="preserve">: </w:t>
      </w:r>
    </w:p>
    <w:p w:rsidR="007F3923" w:rsidRPr="007F3923" w:rsidRDefault="007F3923" w:rsidP="00020AA7">
      <w:pPr>
        <w:autoSpaceDE w:val="0"/>
        <w:autoSpaceDN w:val="0"/>
        <w:adjustRightInd w:val="0"/>
        <w:spacing w:after="0" w:line="240" w:lineRule="auto"/>
        <w:rPr>
          <w:rFonts w:eastAsia="Times New Roman" w:cs="Times New Roman"/>
          <w:bCs/>
          <w:color w:val="000000"/>
        </w:rPr>
      </w:pPr>
    </w:p>
    <w:p w:rsidR="006C5A9D" w:rsidRPr="007F3923" w:rsidRDefault="00C303AF" w:rsidP="00020AA7">
      <w:pPr>
        <w:autoSpaceDE w:val="0"/>
        <w:autoSpaceDN w:val="0"/>
        <w:adjustRightInd w:val="0"/>
        <w:spacing w:after="0" w:line="240" w:lineRule="auto"/>
        <w:rPr>
          <w:rFonts w:eastAsia="Times New Roman" w:cs="Times New Roman"/>
          <w:bCs/>
          <w:color w:val="000000"/>
        </w:rPr>
      </w:pPr>
      <w:r w:rsidRPr="007F3923">
        <w:rPr>
          <w:rFonts w:eastAsia="Times New Roman" w:cs="Times New Roman"/>
          <w:bCs/>
          <w:color w:val="000000"/>
        </w:rPr>
        <w:t xml:space="preserve">In 2016, the General Assembly once again </w:t>
      </w:r>
      <w:r w:rsidR="006C5A9D" w:rsidRPr="007F3923">
        <w:rPr>
          <w:rFonts w:eastAsia="Times New Roman" w:cs="Times New Roman"/>
          <w:bCs/>
          <w:color w:val="000000"/>
        </w:rPr>
        <w:t xml:space="preserve">addressed the topic of background checks for school employees. The legislature made </w:t>
      </w:r>
      <w:r w:rsidR="007F0307">
        <w:rPr>
          <w:rFonts w:eastAsia="Times New Roman" w:cs="Times New Roman"/>
          <w:bCs/>
          <w:color w:val="000000"/>
        </w:rPr>
        <w:t xml:space="preserve">several significant </w:t>
      </w:r>
      <w:r w:rsidR="006C5A9D" w:rsidRPr="007F3923">
        <w:rPr>
          <w:rFonts w:eastAsia="Times New Roman" w:cs="Times New Roman"/>
          <w:bCs/>
          <w:color w:val="000000"/>
        </w:rPr>
        <w:t xml:space="preserve">changes: </w:t>
      </w:r>
    </w:p>
    <w:p w:rsidR="00AC6B39" w:rsidRPr="007F3923" w:rsidRDefault="00AC6B39" w:rsidP="00020AA7">
      <w:pPr>
        <w:autoSpaceDE w:val="0"/>
        <w:autoSpaceDN w:val="0"/>
        <w:adjustRightInd w:val="0"/>
        <w:spacing w:after="0" w:line="240" w:lineRule="auto"/>
        <w:rPr>
          <w:rFonts w:eastAsia="Times New Roman" w:cs="Times New Roman"/>
          <w:bCs/>
          <w:color w:val="000000"/>
        </w:rPr>
      </w:pPr>
    </w:p>
    <w:p w:rsidR="006C5A9D" w:rsidRPr="007F3923" w:rsidRDefault="006C5A9D" w:rsidP="006C5A9D">
      <w:pPr>
        <w:pStyle w:val="ListParagraph"/>
        <w:numPr>
          <w:ilvl w:val="0"/>
          <w:numId w:val="1"/>
        </w:numPr>
        <w:autoSpaceDE w:val="0"/>
        <w:autoSpaceDN w:val="0"/>
        <w:adjustRightInd w:val="0"/>
        <w:spacing w:after="0" w:line="240" w:lineRule="auto"/>
        <w:rPr>
          <w:rFonts w:eastAsia="Times New Roman" w:cs="Times New Roman"/>
          <w:bCs/>
          <w:color w:val="000000"/>
        </w:rPr>
      </w:pPr>
      <w:r w:rsidRPr="007F3923">
        <w:rPr>
          <w:rFonts w:eastAsia="Times New Roman" w:cs="Times New Roman"/>
          <w:bCs/>
          <w:color w:val="000000"/>
        </w:rPr>
        <w:lastRenderedPageBreak/>
        <w:t>Amended IC 20-26-5-10 to expand</w:t>
      </w:r>
      <w:r w:rsidR="00C303AF" w:rsidRPr="007F3923">
        <w:rPr>
          <w:rFonts w:eastAsia="Times New Roman" w:cs="Times New Roman"/>
          <w:bCs/>
          <w:color w:val="000000"/>
        </w:rPr>
        <w:t xml:space="preserve"> the </w:t>
      </w:r>
      <w:r w:rsidR="008A37D2">
        <w:rPr>
          <w:rFonts w:eastAsia="Times New Roman" w:cs="Times New Roman"/>
          <w:bCs/>
          <w:color w:val="000000"/>
        </w:rPr>
        <w:t xml:space="preserve">requirement </w:t>
      </w:r>
      <w:r w:rsidR="00AC6B39" w:rsidRPr="007F3923">
        <w:rPr>
          <w:rFonts w:eastAsia="Times New Roman" w:cs="Times New Roman"/>
          <w:bCs/>
          <w:color w:val="000000"/>
        </w:rPr>
        <w:t xml:space="preserve">for a governing body to have a </w:t>
      </w:r>
      <w:r w:rsidRPr="007F3923">
        <w:rPr>
          <w:rFonts w:eastAsia="Times New Roman" w:cs="Times New Roman"/>
          <w:bCs/>
          <w:color w:val="000000"/>
        </w:rPr>
        <w:t xml:space="preserve">policy requiring background checks for new hires </w:t>
      </w:r>
      <w:r w:rsidRPr="007F3923">
        <w:rPr>
          <w:rFonts w:eastAsia="Times New Roman" w:cs="Times New Roman"/>
          <w:b/>
          <w:bCs/>
          <w:color w:val="000000"/>
        </w:rPr>
        <w:t>to include non-public schools</w:t>
      </w:r>
      <w:r w:rsidR="00C431CF">
        <w:rPr>
          <w:rFonts w:eastAsia="Times New Roman" w:cs="Times New Roman"/>
          <w:b/>
          <w:bCs/>
          <w:color w:val="000000"/>
        </w:rPr>
        <w:t xml:space="preserve">, regardless of their accreditation status, </w:t>
      </w:r>
      <w:r w:rsidRPr="007F3923">
        <w:rPr>
          <w:rFonts w:eastAsia="Times New Roman" w:cs="Times New Roman"/>
          <w:b/>
          <w:bCs/>
          <w:color w:val="000000"/>
        </w:rPr>
        <w:t>that employ one (1) or more employees</w:t>
      </w:r>
      <w:r w:rsidR="00AC6B39" w:rsidRPr="007F3923">
        <w:rPr>
          <w:rFonts w:eastAsia="Times New Roman" w:cs="Times New Roman"/>
          <w:b/>
          <w:bCs/>
          <w:color w:val="000000"/>
        </w:rPr>
        <w:t>.</w:t>
      </w:r>
      <w:r w:rsidR="00AC6B39" w:rsidRPr="007F3923">
        <w:rPr>
          <w:rFonts w:eastAsia="Times New Roman" w:cs="Times New Roman"/>
          <w:bCs/>
          <w:color w:val="000000"/>
        </w:rPr>
        <w:t xml:space="preserve"> This is </w:t>
      </w:r>
      <w:r w:rsidRPr="007F3923">
        <w:rPr>
          <w:rFonts w:eastAsia="Times New Roman" w:cs="Times New Roman"/>
          <w:bCs/>
          <w:color w:val="000000"/>
        </w:rPr>
        <w:t>in addition to public school corporations</w:t>
      </w:r>
      <w:r w:rsidR="00C431CF">
        <w:rPr>
          <w:rFonts w:eastAsia="Times New Roman" w:cs="Times New Roman"/>
          <w:bCs/>
          <w:color w:val="000000"/>
        </w:rPr>
        <w:t xml:space="preserve"> and </w:t>
      </w:r>
      <w:r w:rsidRPr="007F3923">
        <w:rPr>
          <w:rFonts w:eastAsia="Times New Roman" w:cs="Times New Roman"/>
          <w:bCs/>
          <w:color w:val="000000"/>
        </w:rPr>
        <w:t>charter schools that were covered by the prior version of the statute</w:t>
      </w:r>
      <w:r w:rsidR="00AC6B39" w:rsidRPr="007F3923">
        <w:rPr>
          <w:rFonts w:eastAsia="Times New Roman" w:cs="Times New Roman"/>
          <w:bCs/>
          <w:color w:val="000000"/>
        </w:rPr>
        <w:t xml:space="preserve">. </w:t>
      </w:r>
      <w:r w:rsidR="008A37D2">
        <w:rPr>
          <w:rFonts w:eastAsia="Times New Roman" w:cs="Times New Roman"/>
          <w:bCs/>
          <w:color w:val="000000"/>
        </w:rPr>
        <w:t xml:space="preserve">The addition of nonpublic schools that employ one (1) or more employees is effective July 1, 2016. </w:t>
      </w:r>
    </w:p>
    <w:p w:rsidR="00AC6B39" w:rsidRPr="007F3923" w:rsidRDefault="00AC6B39" w:rsidP="00AC6B39">
      <w:pPr>
        <w:autoSpaceDE w:val="0"/>
        <w:autoSpaceDN w:val="0"/>
        <w:adjustRightInd w:val="0"/>
        <w:spacing w:after="0" w:line="240" w:lineRule="auto"/>
        <w:rPr>
          <w:rFonts w:eastAsia="Times New Roman" w:cs="Times New Roman"/>
          <w:bCs/>
          <w:color w:val="000000"/>
        </w:rPr>
      </w:pPr>
    </w:p>
    <w:p w:rsidR="006C5A9D" w:rsidRDefault="006C5A9D" w:rsidP="006C5A9D">
      <w:pPr>
        <w:pStyle w:val="ListParagraph"/>
        <w:numPr>
          <w:ilvl w:val="0"/>
          <w:numId w:val="1"/>
        </w:numPr>
        <w:autoSpaceDE w:val="0"/>
        <w:autoSpaceDN w:val="0"/>
        <w:adjustRightInd w:val="0"/>
        <w:spacing w:after="0" w:line="240" w:lineRule="auto"/>
        <w:rPr>
          <w:rFonts w:eastAsia="Times New Roman" w:cs="Times New Roman"/>
          <w:bCs/>
          <w:color w:val="000000"/>
        </w:rPr>
      </w:pPr>
      <w:r w:rsidRPr="007F3923">
        <w:rPr>
          <w:rFonts w:eastAsia="Times New Roman" w:cs="Times New Roman"/>
          <w:bCs/>
          <w:color w:val="000000"/>
        </w:rPr>
        <w:t>Expanded the required background check</w:t>
      </w:r>
      <w:r w:rsidR="00AC6B39" w:rsidRPr="007F3923">
        <w:rPr>
          <w:rFonts w:eastAsia="Times New Roman" w:cs="Times New Roman"/>
          <w:bCs/>
          <w:color w:val="000000"/>
        </w:rPr>
        <w:t xml:space="preserve"> policy </w:t>
      </w:r>
      <w:r w:rsidRPr="007F3923">
        <w:rPr>
          <w:rFonts w:eastAsia="Times New Roman" w:cs="Times New Roman"/>
          <w:bCs/>
          <w:color w:val="000000"/>
        </w:rPr>
        <w:t xml:space="preserve">to include </w:t>
      </w:r>
      <w:r w:rsidR="00AC6B39" w:rsidRPr="007F3923">
        <w:rPr>
          <w:rFonts w:eastAsia="Times New Roman" w:cs="Times New Roman"/>
          <w:bCs/>
          <w:color w:val="000000"/>
        </w:rPr>
        <w:t xml:space="preserve">both </w:t>
      </w:r>
      <w:r w:rsidRPr="007F3923">
        <w:rPr>
          <w:rFonts w:eastAsia="Times New Roman" w:cs="Times New Roman"/>
          <w:bCs/>
          <w:color w:val="000000"/>
        </w:rPr>
        <w:t xml:space="preserve">the expanded criminal history check previously required in IC 20-26-5-10 </w:t>
      </w:r>
      <w:r w:rsidR="00AC6B39" w:rsidRPr="007F3923">
        <w:rPr>
          <w:rFonts w:eastAsia="Times New Roman" w:cs="Times New Roman"/>
          <w:bCs/>
          <w:color w:val="000000"/>
        </w:rPr>
        <w:t xml:space="preserve">(as </w:t>
      </w:r>
      <w:r w:rsidRPr="007F3923">
        <w:rPr>
          <w:rFonts w:eastAsia="Times New Roman" w:cs="Times New Roman"/>
          <w:bCs/>
          <w:color w:val="000000"/>
        </w:rPr>
        <w:t>defined at IC 20-26-2-1.5</w:t>
      </w:r>
      <w:r w:rsidR="00AC6B39" w:rsidRPr="007F3923">
        <w:rPr>
          <w:rFonts w:eastAsia="Times New Roman" w:cs="Times New Roman"/>
          <w:bCs/>
          <w:color w:val="000000"/>
        </w:rPr>
        <w:t>)</w:t>
      </w:r>
      <w:r w:rsidRPr="007F3923">
        <w:rPr>
          <w:rFonts w:eastAsia="Times New Roman" w:cs="Times New Roman"/>
          <w:bCs/>
          <w:color w:val="000000"/>
        </w:rPr>
        <w:t xml:space="preserve"> </w:t>
      </w:r>
      <w:r w:rsidR="00AC6B39" w:rsidRPr="007F3923">
        <w:rPr>
          <w:rFonts w:eastAsia="Times New Roman" w:cs="Times New Roman"/>
          <w:b/>
          <w:bCs/>
          <w:color w:val="000000"/>
        </w:rPr>
        <w:t>and a</w:t>
      </w:r>
      <w:r w:rsidR="00AC6B39" w:rsidRPr="007F3923">
        <w:rPr>
          <w:rFonts w:eastAsia="Times New Roman" w:cs="Times New Roman"/>
          <w:bCs/>
          <w:color w:val="000000"/>
        </w:rPr>
        <w:t xml:space="preserve"> </w:t>
      </w:r>
      <w:r w:rsidRPr="007F3923">
        <w:rPr>
          <w:rFonts w:eastAsia="Times New Roman" w:cs="Times New Roman"/>
          <w:bCs/>
          <w:color w:val="000000"/>
        </w:rPr>
        <w:t xml:space="preserve"> </w:t>
      </w:r>
      <w:r w:rsidRPr="007F3923">
        <w:rPr>
          <w:rFonts w:eastAsia="Times New Roman" w:cs="Times New Roman"/>
          <w:b/>
          <w:bCs/>
          <w:color w:val="000000"/>
          <w:u w:val="single"/>
        </w:rPr>
        <w:t>new</w:t>
      </w:r>
      <w:r w:rsidRPr="007F3923">
        <w:rPr>
          <w:rFonts w:eastAsia="Times New Roman" w:cs="Times New Roman"/>
          <w:b/>
          <w:bCs/>
          <w:color w:val="000000"/>
        </w:rPr>
        <w:t xml:space="preserve"> </w:t>
      </w:r>
      <w:r w:rsidR="00AC6B39" w:rsidRPr="007F3923">
        <w:rPr>
          <w:rFonts w:eastAsia="Times New Roman" w:cs="Times New Roman"/>
          <w:b/>
          <w:bCs/>
          <w:color w:val="000000"/>
        </w:rPr>
        <w:t>expanded child protection index check</w:t>
      </w:r>
      <w:r w:rsidR="00AC6B39" w:rsidRPr="007F3923">
        <w:rPr>
          <w:rFonts w:eastAsia="Times New Roman" w:cs="Times New Roman"/>
          <w:bCs/>
          <w:color w:val="000000"/>
        </w:rPr>
        <w:t xml:space="preserve"> that is defined at IC 20-26-2-1.3. </w:t>
      </w:r>
      <w:r w:rsidR="008359A1">
        <w:rPr>
          <w:rFonts w:eastAsia="Times New Roman" w:cs="Times New Roman"/>
          <w:bCs/>
          <w:color w:val="000000"/>
        </w:rPr>
        <w:t xml:space="preserve">Both the expanded criminal history check and the expanded child protection index check must be completed before or not later than three (3) months after the applicant’s employment by the school corporation, charter school or nonpublic school. </w:t>
      </w:r>
    </w:p>
    <w:p w:rsidR="008A37D2" w:rsidRDefault="008A37D2" w:rsidP="008A37D2">
      <w:pPr>
        <w:autoSpaceDE w:val="0"/>
        <w:autoSpaceDN w:val="0"/>
        <w:adjustRightInd w:val="0"/>
        <w:spacing w:after="0" w:line="240" w:lineRule="auto"/>
        <w:rPr>
          <w:rFonts w:eastAsia="Times New Roman" w:cs="Times New Roman"/>
          <w:bCs/>
          <w:color w:val="000000"/>
        </w:rPr>
      </w:pPr>
    </w:p>
    <w:p w:rsidR="00AC6B39" w:rsidRDefault="00AC6B39" w:rsidP="008A37D2">
      <w:pPr>
        <w:autoSpaceDE w:val="0"/>
        <w:autoSpaceDN w:val="0"/>
        <w:adjustRightInd w:val="0"/>
        <w:spacing w:after="0" w:line="240" w:lineRule="auto"/>
        <w:rPr>
          <w:rFonts w:eastAsia="Times New Roman" w:cs="Times New Roman"/>
          <w:bCs/>
          <w:color w:val="000000"/>
        </w:rPr>
      </w:pPr>
      <w:r w:rsidRPr="007F3923">
        <w:rPr>
          <w:rFonts w:eastAsia="Times New Roman" w:cs="Times New Roman"/>
          <w:bCs/>
          <w:color w:val="000000"/>
        </w:rPr>
        <w:t xml:space="preserve">The newly required expanded child protection index check is defined </w:t>
      </w:r>
      <w:r w:rsidR="008A37D2">
        <w:rPr>
          <w:rFonts w:eastAsia="Times New Roman" w:cs="Times New Roman"/>
          <w:bCs/>
          <w:color w:val="000000"/>
        </w:rPr>
        <w:t xml:space="preserve">at IC 20-26-2-1.3 </w:t>
      </w:r>
      <w:r w:rsidRPr="007F3923">
        <w:rPr>
          <w:rFonts w:eastAsia="Times New Roman" w:cs="Times New Roman"/>
          <w:bCs/>
          <w:color w:val="000000"/>
        </w:rPr>
        <w:t xml:space="preserve">as follows: </w:t>
      </w:r>
    </w:p>
    <w:p w:rsidR="00EB5927" w:rsidRPr="007F3923" w:rsidRDefault="00EB5927" w:rsidP="007F0307">
      <w:pPr>
        <w:autoSpaceDE w:val="0"/>
        <w:autoSpaceDN w:val="0"/>
        <w:adjustRightInd w:val="0"/>
        <w:spacing w:after="0" w:line="240" w:lineRule="auto"/>
        <w:ind w:left="360"/>
        <w:rPr>
          <w:rFonts w:eastAsia="Times New Roman" w:cs="Times New Roman"/>
          <w:bCs/>
          <w:color w:val="000000"/>
        </w:rPr>
      </w:pPr>
    </w:p>
    <w:p w:rsidR="00AC6B39" w:rsidRPr="007F3923" w:rsidRDefault="00AC6B39" w:rsidP="00AC6B39">
      <w:pPr>
        <w:autoSpaceDE w:val="0"/>
        <w:autoSpaceDN w:val="0"/>
        <w:adjustRightInd w:val="0"/>
        <w:spacing w:after="0" w:line="240" w:lineRule="auto"/>
        <w:ind w:left="720"/>
      </w:pPr>
      <w:r w:rsidRPr="007F3923">
        <w:t xml:space="preserve">Sec. 1.3. "Expanded child protection index check" means: </w:t>
      </w:r>
    </w:p>
    <w:p w:rsidR="00AC6B39" w:rsidRPr="007F3923" w:rsidRDefault="00AC6B39" w:rsidP="00AC6B39">
      <w:pPr>
        <w:autoSpaceDE w:val="0"/>
        <w:autoSpaceDN w:val="0"/>
        <w:adjustRightInd w:val="0"/>
        <w:spacing w:after="0" w:line="240" w:lineRule="auto"/>
        <w:ind w:left="720"/>
      </w:pPr>
      <w:r w:rsidRPr="007F3923">
        <w:t xml:space="preserve">(1) an inquiry with the department of child services as to whether an individual has been the subject of a substantiated report of child abuse or neglect and is listed in the child protection index established under IC 31-33-26-2; </w:t>
      </w:r>
    </w:p>
    <w:p w:rsidR="00AC6B39" w:rsidRPr="007F3923" w:rsidRDefault="00AC6B39" w:rsidP="00AC6B39">
      <w:pPr>
        <w:autoSpaceDE w:val="0"/>
        <w:autoSpaceDN w:val="0"/>
        <w:adjustRightInd w:val="0"/>
        <w:spacing w:after="0" w:line="240" w:lineRule="auto"/>
        <w:ind w:left="720"/>
      </w:pPr>
      <w:r w:rsidRPr="007F3923">
        <w:t xml:space="preserve">(2) an inquiry with the child welfare agency of each state in which the individual has resided since the individual became eighteen (18) years of age as to whether there are any substantiated reports that the individual has committed child abuse or neglect; and </w:t>
      </w:r>
    </w:p>
    <w:p w:rsidR="00AC6B39" w:rsidRDefault="00AC6B39" w:rsidP="00AC6B39">
      <w:pPr>
        <w:autoSpaceDE w:val="0"/>
        <w:autoSpaceDN w:val="0"/>
        <w:adjustRightInd w:val="0"/>
        <w:spacing w:after="0" w:line="240" w:lineRule="auto"/>
        <w:ind w:left="720"/>
      </w:pPr>
      <w:r w:rsidRPr="007F3923">
        <w:t>(3) for a certificated employee, an inquiry with the department of education or other entity that may issue a license to teach of each state in which the individual has resided since the individual became eighteen (18) years of age as to whether the individual has ever had a teaching license suspended or revoked.</w:t>
      </w:r>
    </w:p>
    <w:p w:rsidR="00B90CF9" w:rsidRDefault="00B90CF9" w:rsidP="00AC6B39">
      <w:pPr>
        <w:autoSpaceDE w:val="0"/>
        <w:autoSpaceDN w:val="0"/>
        <w:adjustRightInd w:val="0"/>
        <w:spacing w:after="0" w:line="240" w:lineRule="auto"/>
        <w:ind w:left="720"/>
      </w:pPr>
    </w:p>
    <w:p w:rsidR="00B90CF9" w:rsidRDefault="008A37D2" w:rsidP="001559FD">
      <w:pPr>
        <w:rPr>
          <w:rFonts w:eastAsia="Times New Roman" w:cs="Times New Roman"/>
          <w:bCs/>
          <w:color w:val="000000"/>
        </w:rPr>
      </w:pPr>
      <w:r>
        <w:rPr>
          <w:rFonts w:eastAsia="Times New Roman" w:cs="Times New Roman"/>
          <w:bCs/>
          <w:color w:val="000000"/>
        </w:rPr>
        <w:t xml:space="preserve">School employers </w:t>
      </w:r>
      <w:r w:rsidR="00B90CF9" w:rsidRPr="007F3923">
        <w:rPr>
          <w:rFonts w:eastAsia="Times New Roman" w:cs="Times New Roman"/>
          <w:bCs/>
          <w:color w:val="000000"/>
        </w:rPr>
        <w:t>should contact their expanded criminal history check vendors as soon as possible to ensure the</w:t>
      </w:r>
      <w:r w:rsidR="00B90CF9">
        <w:rPr>
          <w:rFonts w:eastAsia="Times New Roman" w:cs="Times New Roman"/>
          <w:bCs/>
          <w:color w:val="000000"/>
        </w:rPr>
        <w:t xml:space="preserve"> vendor includes the required components of the expanded child protection index check as of July 1, 2016. </w:t>
      </w:r>
      <w:r w:rsidR="00F93C55">
        <w:rPr>
          <w:rFonts w:eastAsia="Times New Roman" w:cs="Times New Roman"/>
          <w:bCs/>
          <w:color w:val="000000"/>
        </w:rPr>
        <w:t>Please go to the DCS website</w:t>
      </w:r>
      <w:r w:rsidR="00AF2E4E">
        <w:rPr>
          <w:rFonts w:eastAsia="Times New Roman" w:cs="Times New Roman"/>
          <w:bCs/>
          <w:color w:val="000000"/>
        </w:rPr>
        <w:t xml:space="preserve"> at</w:t>
      </w:r>
      <w:r w:rsidR="00F93C55">
        <w:rPr>
          <w:rFonts w:eastAsia="Times New Roman" w:cs="Times New Roman"/>
          <w:bCs/>
          <w:color w:val="000000"/>
        </w:rPr>
        <w:t xml:space="preserve"> </w:t>
      </w:r>
      <w:hyperlink r:id="rId7" w:history="1">
        <w:r w:rsidR="00AF2E4E" w:rsidRPr="002A4E53">
          <w:rPr>
            <w:rStyle w:val="Hyperlink"/>
            <w:rFonts w:eastAsia="Times New Roman" w:cs="Times New Roman"/>
            <w:bCs/>
          </w:rPr>
          <w:t>https://secure.in.gov/dcs/</w:t>
        </w:r>
      </w:hyperlink>
      <w:r w:rsidR="00AF2E4E">
        <w:rPr>
          <w:rFonts w:eastAsia="Times New Roman" w:cs="Times New Roman"/>
          <w:bCs/>
          <w:color w:val="000000"/>
        </w:rPr>
        <w:t xml:space="preserve"> </w:t>
      </w:r>
      <w:r w:rsidR="00136485">
        <w:rPr>
          <w:rFonts w:eastAsia="Times New Roman" w:cs="Times New Roman"/>
          <w:bCs/>
          <w:color w:val="000000"/>
        </w:rPr>
        <w:t xml:space="preserve">and follow the links, or go to </w:t>
      </w:r>
      <w:r w:rsidR="001559FD">
        <w:rPr>
          <w:rFonts w:eastAsia="Times New Roman" w:cs="Times New Roman"/>
          <w:bCs/>
          <w:color w:val="000000"/>
        </w:rPr>
        <w:t xml:space="preserve">the page regarding Indiana’s Expanded Child Protection Index Checks for school personnel </w:t>
      </w:r>
      <w:r w:rsidR="00136485">
        <w:rPr>
          <w:rFonts w:eastAsia="Times New Roman" w:cs="Times New Roman"/>
          <w:bCs/>
          <w:color w:val="000000"/>
        </w:rPr>
        <w:t xml:space="preserve">at </w:t>
      </w:r>
      <w:hyperlink r:id="rId8" w:history="1">
        <w:r w:rsidR="001559FD">
          <w:rPr>
            <w:rStyle w:val="Hyperlink"/>
          </w:rPr>
          <w:t>http://www.in.gov/dcs/3761.htm</w:t>
        </w:r>
      </w:hyperlink>
      <w:r w:rsidR="001559FD">
        <w:rPr>
          <w:color w:val="1F497D"/>
        </w:rPr>
        <w:t xml:space="preserve"> . </w:t>
      </w:r>
      <w:r w:rsidR="00136485">
        <w:rPr>
          <w:rFonts w:eastAsia="Times New Roman" w:cs="Times New Roman"/>
          <w:bCs/>
          <w:color w:val="000000"/>
        </w:rPr>
        <w:t>There you will find the</w:t>
      </w:r>
      <w:r w:rsidR="00F93C55">
        <w:rPr>
          <w:rFonts w:eastAsia="Times New Roman" w:cs="Times New Roman"/>
          <w:bCs/>
          <w:color w:val="000000"/>
        </w:rPr>
        <w:t xml:space="preserve"> </w:t>
      </w:r>
      <w:r w:rsidR="00AF2E4E">
        <w:rPr>
          <w:rFonts w:eastAsia="Times New Roman" w:cs="Times New Roman"/>
          <w:bCs/>
          <w:color w:val="000000"/>
        </w:rPr>
        <w:t xml:space="preserve">Indiana School Personnel Request for an Expanded Child Protection Index Check form (state form # 56025) </w:t>
      </w:r>
      <w:r w:rsidR="00F93C55">
        <w:rPr>
          <w:rFonts w:eastAsia="Times New Roman" w:cs="Times New Roman"/>
          <w:bCs/>
          <w:color w:val="000000"/>
        </w:rPr>
        <w:t xml:space="preserve">and details on modes of submission and how long an ECPI check should take. </w:t>
      </w:r>
    </w:p>
    <w:p w:rsidR="00F93C55" w:rsidRPr="007F3923" w:rsidRDefault="00F93C55" w:rsidP="00B90CF9">
      <w:pPr>
        <w:autoSpaceDE w:val="0"/>
        <w:autoSpaceDN w:val="0"/>
        <w:adjustRightInd w:val="0"/>
        <w:spacing w:after="0" w:line="240" w:lineRule="auto"/>
        <w:rPr>
          <w:rFonts w:eastAsia="Times New Roman" w:cs="Times New Roman"/>
          <w:bCs/>
          <w:color w:val="000000"/>
        </w:rPr>
      </w:pPr>
    </w:p>
    <w:p w:rsidR="00AC6B39" w:rsidRPr="007F3923" w:rsidRDefault="00AC6B39" w:rsidP="00AC6B39">
      <w:pPr>
        <w:autoSpaceDE w:val="0"/>
        <w:autoSpaceDN w:val="0"/>
        <w:adjustRightInd w:val="0"/>
        <w:spacing w:after="0" w:line="240" w:lineRule="auto"/>
        <w:rPr>
          <w:rFonts w:eastAsia="Times New Roman" w:cs="Times New Roman"/>
          <w:bCs/>
          <w:color w:val="000000"/>
        </w:rPr>
      </w:pPr>
    </w:p>
    <w:p w:rsidR="007F0307" w:rsidRPr="000E41D0" w:rsidRDefault="000E41D0" w:rsidP="000E41D0">
      <w:pPr>
        <w:pStyle w:val="ListParagraph"/>
        <w:numPr>
          <w:ilvl w:val="0"/>
          <w:numId w:val="1"/>
        </w:numPr>
        <w:autoSpaceDE w:val="0"/>
        <w:autoSpaceDN w:val="0"/>
        <w:adjustRightInd w:val="0"/>
        <w:spacing w:after="0" w:line="240" w:lineRule="auto"/>
        <w:rPr>
          <w:rFonts w:eastAsia="Times New Roman" w:cs="Times New Roman"/>
          <w:bCs/>
          <w:color w:val="000000"/>
        </w:rPr>
      </w:pPr>
      <w:r w:rsidRPr="000E41D0">
        <w:rPr>
          <w:rFonts w:eastAsia="Times New Roman" w:cs="Times New Roman"/>
          <w:bCs/>
          <w:color w:val="000000"/>
        </w:rPr>
        <w:t>The 2016 General Assembly also amended I</w:t>
      </w:r>
      <w:r w:rsidR="007F0307" w:rsidRPr="000E41D0">
        <w:rPr>
          <w:rFonts w:eastAsia="Times New Roman" w:cs="Times New Roman"/>
          <w:bCs/>
          <w:color w:val="000000"/>
        </w:rPr>
        <w:t>C 20-26-5-11</w:t>
      </w:r>
      <w:r w:rsidRPr="000E41D0">
        <w:rPr>
          <w:rFonts w:eastAsia="Times New Roman" w:cs="Times New Roman"/>
          <w:bCs/>
          <w:color w:val="000000"/>
        </w:rPr>
        <w:t xml:space="preserve"> to address the </w:t>
      </w:r>
      <w:r w:rsidR="007F0307" w:rsidRPr="000E41D0">
        <w:rPr>
          <w:rFonts w:eastAsia="Times New Roman" w:cs="Times New Roman"/>
          <w:bCs/>
          <w:color w:val="000000"/>
        </w:rPr>
        <w:t xml:space="preserve">use of information discovered through an expanded child protection index check and employee self-reporting requirements.  </w:t>
      </w:r>
      <w:r w:rsidRPr="000E41D0">
        <w:rPr>
          <w:rFonts w:eastAsia="Times New Roman" w:cs="Times New Roman"/>
          <w:bCs/>
          <w:color w:val="000000"/>
        </w:rPr>
        <w:t>Newly added language as subsection</w:t>
      </w:r>
      <w:r w:rsidR="008A37D2">
        <w:rPr>
          <w:rFonts w:eastAsia="Times New Roman" w:cs="Times New Roman"/>
          <w:bCs/>
          <w:color w:val="000000"/>
        </w:rPr>
        <w:t>s</w:t>
      </w:r>
      <w:r w:rsidRPr="000E41D0">
        <w:rPr>
          <w:rFonts w:eastAsia="Times New Roman" w:cs="Times New Roman"/>
          <w:bCs/>
          <w:color w:val="000000"/>
        </w:rPr>
        <w:t xml:space="preserve"> (d) </w:t>
      </w:r>
      <w:r w:rsidR="008A37D2">
        <w:rPr>
          <w:rFonts w:eastAsia="Times New Roman" w:cs="Times New Roman"/>
          <w:bCs/>
          <w:color w:val="000000"/>
        </w:rPr>
        <w:t xml:space="preserve">and (e) </w:t>
      </w:r>
      <w:r w:rsidR="00F76DFC">
        <w:rPr>
          <w:rFonts w:eastAsia="Times New Roman" w:cs="Times New Roman"/>
          <w:bCs/>
          <w:color w:val="000000"/>
        </w:rPr>
        <w:t xml:space="preserve">provides: </w:t>
      </w:r>
    </w:p>
    <w:p w:rsidR="007F0307" w:rsidRDefault="007F0307" w:rsidP="007F0307">
      <w:pPr>
        <w:pStyle w:val="ListParagraph"/>
        <w:autoSpaceDE w:val="0"/>
        <w:autoSpaceDN w:val="0"/>
        <w:adjustRightInd w:val="0"/>
        <w:spacing w:after="0" w:line="240" w:lineRule="auto"/>
        <w:rPr>
          <w:rFonts w:eastAsia="Times New Roman" w:cs="Times New Roman"/>
          <w:bCs/>
          <w:color w:val="000000"/>
        </w:rPr>
      </w:pPr>
    </w:p>
    <w:p w:rsidR="007F0307" w:rsidRDefault="007F0307" w:rsidP="007F0307">
      <w:pPr>
        <w:pStyle w:val="ListParagraph"/>
        <w:autoSpaceDE w:val="0"/>
        <w:autoSpaceDN w:val="0"/>
        <w:adjustRightInd w:val="0"/>
        <w:spacing w:after="0" w:line="240" w:lineRule="auto"/>
        <w:rPr>
          <w:rFonts w:eastAsia="Times New Roman" w:cs="Times New Roman"/>
          <w:bCs/>
          <w:color w:val="000000"/>
        </w:rPr>
      </w:pPr>
      <w:r>
        <w:rPr>
          <w:rFonts w:eastAsia="Times New Roman" w:cs="Times New Roman"/>
          <w:bCs/>
          <w:color w:val="000000"/>
        </w:rPr>
        <w:t xml:space="preserve">(d) A school corporation, charter school or entity </w:t>
      </w:r>
      <w:r w:rsidR="0094630B" w:rsidRPr="0094630B">
        <w:rPr>
          <w:rFonts w:eastAsia="Times New Roman" w:cs="Times New Roman"/>
          <w:bCs/>
          <w:color w:val="000000"/>
        </w:rPr>
        <w:t xml:space="preserve">(described in IC 20-26-5-11(a)(3))  </w:t>
      </w:r>
      <w:r w:rsidR="00EB5927">
        <w:rPr>
          <w:rFonts w:eastAsia="Times New Roman" w:cs="Times New Roman"/>
          <w:bCs/>
          <w:color w:val="000000"/>
        </w:rPr>
        <w:t>with which the school corporation contracts for services and that has employees who are likely to have direct, ongoing contact with children within the scope of the employees’ employment</w:t>
      </w:r>
      <w:r w:rsidR="00F76DFC">
        <w:rPr>
          <w:rFonts w:eastAsia="Times New Roman" w:cs="Times New Roman"/>
          <w:bCs/>
          <w:color w:val="000000"/>
        </w:rPr>
        <w:t xml:space="preserve"> </w:t>
      </w:r>
      <w:r>
        <w:rPr>
          <w:rFonts w:eastAsia="Times New Roman" w:cs="Times New Roman"/>
          <w:bCs/>
          <w:color w:val="000000"/>
        </w:rPr>
        <w:t>may use information obtained under section 10 of this chapter (IC 20-26-5-10)</w:t>
      </w:r>
      <w:r w:rsidR="00EB5927">
        <w:rPr>
          <w:rFonts w:eastAsia="Times New Roman" w:cs="Times New Roman"/>
          <w:bCs/>
          <w:color w:val="000000"/>
        </w:rPr>
        <w:t xml:space="preserve"> concerning an individual </w:t>
      </w:r>
      <w:r w:rsidR="00EB5927">
        <w:rPr>
          <w:rFonts w:eastAsia="Times New Roman" w:cs="Times New Roman"/>
          <w:bCs/>
          <w:color w:val="000000"/>
        </w:rPr>
        <w:lastRenderedPageBreak/>
        <w:t xml:space="preserve">being the subject of a substantiated report of child abuse or neglect as grounds to not employ or contract with the individual. </w:t>
      </w:r>
    </w:p>
    <w:p w:rsidR="00EB5927" w:rsidRDefault="00EB5927" w:rsidP="007F0307">
      <w:pPr>
        <w:pStyle w:val="ListParagraph"/>
        <w:autoSpaceDE w:val="0"/>
        <w:autoSpaceDN w:val="0"/>
        <w:adjustRightInd w:val="0"/>
        <w:spacing w:after="0" w:line="240" w:lineRule="auto"/>
        <w:rPr>
          <w:rFonts w:eastAsia="Times New Roman" w:cs="Times New Roman"/>
          <w:bCs/>
          <w:color w:val="000000"/>
        </w:rPr>
      </w:pPr>
    </w:p>
    <w:p w:rsidR="00AC6B39" w:rsidRDefault="008A37D2" w:rsidP="008A37D2">
      <w:pPr>
        <w:pStyle w:val="ListParagraph"/>
        <w:autoSpaceDE w:val="0"/>
        <w:autoSpaceDN w:val="0"/>
        <w:adjustRightInd w:val="0"/>
        <w:spacing w:after="0" w:line="240" w:lineRule="auto"/>
        <w:rPr>
          <w:rFonts w:eastAsia="Times New Roman" w:cs="Times New Roman"/>
          <w:bCs/>
          <w:color w:val="000000"/>
        </w:rPr>
      </w:pPr>
      <w:r>
        <w:rPr>
          <w:rFonts w:eastAsia="Times New Roman" w:cs="Times New Roman"/>
          <w:bCs/>
          <w:color w:val="000000"/>
        </w:rPr>
        <w:t xml:space="preserve">(e) An individual employed by </w:t>
      </w:r>
      <w:r w:rsidR="00B90CF9" w:rsidRPr="000E41D0">
        <w:rPr>
          <w:rFonts w:eastAsia="Times New Roman" w:cs="Times New Roman"/>
          <w:bCs/>
          <w:color w:val="000000"/>
        </w:rPr>
        <w:t xml:space="preserve">a </w:t>
      </w:r>
      <w:r w:rsidR="00EB5927" w:rsidRPr="000E41D0">
        <w:rPr>
          <w:rFonts w:eastAsia="Times New Roman" w:cs="Times New Roman"/>
          <w:bCs/>
          <w:color w:val="000000"/>
        </w:rPr>
        <w:t xml:space="preserve">school corporation, charter school or entity </w:t>
      </w:r>
      <w:r w:rsidR="00B90CF9" w:rsidRPr="000E41D0">
        <w:rPr>
          <w:rFonts w:eastAsia="Times New Roman" w:cs="Times New Roman"/>
          <w:bCs/>
          <w:color w:val="000000"/>
        </w:rPr>
        <w:t>described in IC 20-26-5-11(a</w:t>
      </w:r>
      <w:proofErr w:type="gramStart"/>
      <w:r w:rsidR="00B90CF9" w:rsidRPr="000E41D0">
        <w:rPr>
          <w:rFonts w:eastAsia="Times New Roman" w:cs="Times New Roman"/>
          <w:bCs/>
          <w:color w:val="000000"/>
        </w:rPr>
        <w:t>)</w:t>
      </w:r>
      <w:r w:rsidR="00F76DFC">
        <w:rPr>
          <w:rFonts w:eastAsia="Times New Roman" w:cs="Times New Roman"/>
          <w:bCs/>
          <w:color w:val="000000"/>
        </w:rPr>
        <w:t>(</w:t>
      </w:r>
      <w:proofErr w:type="gramEnd"/>
      <w:r w:rsidR="00F76DFC">
        <w:rPr>
          <w:rFonts w:eastAsia="Times New Roman" w:cs="Times New Roman"/>
          <w:bCs/>
          <w:color w:val="000000"/>
        </w:rPr>
        <w:t>3)</w:t>
      </w:r>
      <w:r w:rsidR="00B90CF9" w:rsidRPr="000E41D0">
        <w:rPr>
          <w:rFonts w:eastAsia="Times New Roman" w:cs="Times New Roman"/>
          <w:bCs/>
          <w:color w:val="000000"/>
        </w:rPr>
        <w:t xml:space="preserve"> </w:t>
      </w:r>
      <w:r>
        <w:rPr>
          <w:rFonts w:eastAsia="Times New Roman" w:cs="Times New Roman"/>
          <w:bCs/>
          <w:color w:val="000000"/>
        </w:rPr>
        <w:t xml:space="preserve">shall </w:t>
      </w:r>
      <w:r w:rsidR="00EB5927" w:rsidRPr="000E41D0">
        <w:rPr>
          <w:rFonts w:eastAsia="Times New Roman" w:cs="Times New Roman"/>
          <w:bCs/>
          <w:color w:val="000000"/>
        </w:rPr>
        <w:t xml:space="preserve">notify the governing body of the school corporation if, during the course of the individual’s employment, the individual is the subject of a substantiated report of child abuse or neglect. </w:t>
      </w:r>
    </w:p>
    <w:p w:rsidR="00777F74" w:rsidRDefault="00777F74" w:rsidP="008A37D2">
      <w:pPr>
        <w:pStyle w:val="ListParagraph"/>
        <w:autoSpaceDE w:val="0"/>
        <w:autoSpaceDN w:val="0"/>
        <w:adjustRightInd w:val="0"/>
        <w:spacing w:after="0" w:line="240" w:lineRule="auto"/>
        <w:rPr>
          <w:rFonts w:eastAsia="Times New Roman" w:cs="Times New Roman"/>
          <w:bCs/>
          <w:color w:val="000000"/>
        </w:rPr>
      </w:pPr>
    </w:p>
    <w:p w:rsidR="00777F74" w:rsidRDefault="00777F74" w:rsidP="008A37D2">
      <w:pPr>
        <w:pStyle w:val="ListParagraph"/>
        <w:autoSpaceDE w:val="0"/>
        <w:autoSpaceDN w:val="0"/>
        <w:adjustRightInd w:val="0"/>
        <w:spacing w:after="0" w:line="240" w:lineRule="auto"/>
        <w:rPr>
          <w:rFonts w:eastAsia="Times New Roman" w:cs="Times New Roman"/>
          <w:bCs/>
          <w:color w:val="000000"/>
        </w:rPr>
      </w:pPr>
    </w:p>
    <w:p w:rsidR="007C31CF" w:rsidRDefault="00777F74" w:rsidP="007C31CF">
      <w:pPr>
        <w:pStyle w:val="ListParagraph"/>
        <w:numPr>
          <w:ilvl w:val="0"/>
          <w:numId w:val="1"/>
        </w:numPr>
        <w:autoSpaceDE w:val="0"/>
        <w:autoSpaceDN w:val="0"/>
        <w:adjustRightInd w:val="0"/>
        <w:spacing w:after="0" w:line="240" w:lineRule="auto"/>
        <w:rPr>
          <w:rFonts w:eastAsia="Times New Roman" w:cs="Times New Roman"/>
          <w:bCs/>
          <w:color w:val="000000"/>
        </w:rPr>
      </w:pPr>
      <w:r>
        <w:rPr>
          <w:rFonts w:eastAsia="Times New Roman" w:cs="Times New Roman"/>
          <w:bCs/>
          <w:color w:val="000000"/>
        </w:rPr>
        <w:t>The General Assembly also addressed the issue of confidentiality agreements (also called nondisclosure agreements) between schools and employees or former employees</w:t>
      </w:r>
      <w:r w:rsidR="007C31CF">
        <w:rPr>
          <w:rFonts w:eastAsia="Times New Roman" w:cs="Times New Roman"/>
          <w:bCs/>
          <w:color w:val="000000"/>
        </w:rPr>
        <w:t xml:space="preserve"> relative to substantiated reports of child abuse or neglect. The new statutory language added as IC 20-26-5-11.5, effective July 1, 2016</w:t>
      </w:r>
      <w:r w:rsidR="006C32D8">
        <w:rPr>
          <w:rFonts w:eastAsia="Times New Roman" w:cs="Times New Roman"/>
          <w:bCs/>
          <w:color w:val="000000"/>
        </w:rPr>
        <w:t>,</w:t>
      </w:r>
      <w:r w:rsidR="007C31CF">
        <w:rPr>
          <w:rFonts w:eastAsia="Times New Roman" w:cs="Times New Roman"/>
          <w:bCs/>
          <w:color w:val="000000"/>
        </w:rPr>
        <w:t xml:space="preserve"> is shown below.  School employers should consult their legal counsel for advice on current and future confidentiality agreements.   </w:t>
      </w:r>
    </w:p>
    <w:p w:rsidR="007C31CF" w:rsidRDefault="007C31CF" w:rsidP="008A37D2">
      <w:pPr>
        <w:pStyle w:val="ListParagraph"/>
        <w:autoSpaceDE w:val="0"/>
        <w:autoSpaceDN w:val="0"/>
        <w:adjustRightInd w:val="0"/>
        <w:spacing w:after="0" w:line="240" w:lineRule="auto"/>
        <w:rPr>
          <w:rFonts w:eastAsia="Times New Roman" w:cs="Times New Roman"/>
          <w:bCs/>
          <w:color w:val="000000"/>
        </w:rPr>
      </w:pPr>
    </w:p>
    <w:p w:rsidR="007C31CF" w:rsidRPr="00F93C55" w:rsidRDefault="007C31CF" w:rsidP="007C31CF">
      <w:pPr>
        <w:autoSpaceDE w:val="0"/>
        <w:autoSpaceDN w:val="0"/>
        <w:adjustRightInd w:val="0"/>
        <w:spacing w:after="0" w:line="240" w:lineRule="auto"/>
        <w:rPr>
          <w:rFonts w:cs="TimesNewRomanPSMT,Bold"/>
          <w:bCs/>
        </w:rPr>
      </w:pPr>
      <w:r>
        <w:rPr>
          <w:rFonts w:eastAsia="Times New Roman" w:cs="Times New Roman"/>
          <w:bCs/>
          <w:color w:val="000000"/>
        </w:rPr>
        <w:t xml:space="preserve"> </w:t>
      </w:r>
      <w:r>
        <w:rPr>
          <w:rFonts w:eastAsia="Times New Roman" w:cs="Times New Roman"/>
          <w:bCs/>
          <w:color w:val="000000"/>
        </w:rPr>
        <w:tab/>
      </w:r>
      <w:r w:rsidR="00777F74" w:rsidRPr="00F93C55">
        <w:rPr>
          <w:rFonts w:eastAsia="Times New Roman" w:cs="Times New Roman"/>
          <w:bCs/>
          <w:color w:val="000000"/>
        </w:rPr>
        <w:t xml:space="preserve"> </w:t>
      </w:r>
      <w:r w:rsidRPr="00F93C55">
        <w:rPr>
          <w:rFonts w:cs="TimesNewRomanPSMT,Bold"/>
          <w:bCs/>
        </w:rPr>
        <w:t>Sec. 11.5. (a) As used in this section,</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"school" includes:</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(1) a charter school, as defined in IC 20-24-1-4;</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(2) a nonpublic school, as defined in IC 20-18-2-12, that</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employs one (1) or more employees;</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(3) a public school, as defined in IC 20-18-2-15(1); and</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(4) an entity in another state that carries out a function</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similar to an entity described in subdivisions (1) through (3).</w:t>
      </w:r>
    </w:p>
    <w:p w:rsidR="007C31CF" w:rsidRPr="00F93C55" w:rsidRDefault="007C31CF" w:rsidP="007C31CF">
      <w:pPr>
        <w:autoSpaceDE w:val="0"/>
        <w:autoSpaceDN w:val="0"/>
        <w:adjustRightInd w:val="0"/>
        <w:spacing w:after="0" w:line="240" w:lineRule="auto"/>
        <w:ind w:firstLine="720"/>
        <w:rPr>
          <w:rFonts w:cs="TimesNewRomanPSMT,Bold"/>
          <w:bCs/>
        </w:rPr>
      </w:pP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(b) Notwithstanding any confidentiality agreement entered into</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by a school and an employee of the school, a school that receives a</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request for an employment reference, from another school, for a</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current or former employee, shall disclose to the requesting school</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any incident known by the school in which the employee committed</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an act resulting in a substantiated report of abuse or neglect under</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IC 31-6 (before its repeal) or IC 31-33.</w:t>
      </w:r>
    </w:p>
    <w:p w:rsidR="007C31CF" w:rsidRPr="00F93C55" w:rsidRDefault="007C31CF" w:rsidP="007C31CF">
      <w:pPr>
        <w:autoSpaceDE w:val="0"/>
        <w:autoSpaceDN w:val="0"/>
        <w:adjustRightInd w:val="0"/>
        <w:spacing w:after="0" w:line="240" w:lineRule="auto"/>
        <w:ind w:firstLine="720"/>
        <w:rPr>
          <w:rFonts w:cs="TimesNewRomanPSMT,Bold"/>
          <w:bCs/>
        </w:rPr>
      </w:pP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(c) A school may not disclose information under this section</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that:</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(1) identifies a student; or</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(2) is confidential student information under the federal</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Family Education Rights and Privacy Act (20 U.S.C. 1232g et</w:t>
      </w:r>
      <w:r w:rsidR="00C431CF" w:rsidRPr="00F93C55">
        <w:rPr>
          <w:rFonts w:cs="TimesNewRomanPSMT,Bold"/>
          <w:bCs/>
        </w:rPr>
        <w:t xml:space="preserve"> </w:t>
      </w:r>
      <w:r w:rsidRPr="00F93C55">
        <w:rPr>
          <w:rFonts w:cs="TimesNewRomanPSMT,Bold"/>
          <w:bCs/>
        </w:rPr>
        <w:t>seq.).</w:t>
      </w:r>
    </w:p>
    <w:p w:rsidR="007C31CF" w:rsidRPr="00F93C55" w:rsidRDefault="007C31CF" w:rsidP="007C31CF">
      <w:pPr>
        <w:autoSpaceDE w:val="0"/>
        <w:autoSpaceDN w:val="0"/>
        <w:adjustRightInd w:val="0"/>
        <w:spacing w:after="0" w:line="240" w:lineRule="auto"/>
        <w:ind w:firstLine="720"/>
        <w:rPr>
          <w:rFonts w:cs="TimesNewRomanPSMT,Bold"/>
          <w:bCs/>
        </w:rPr>
      </w:pP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(d) A confidentiality agreement entered into or amended after</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June 30, 2016, by a school and an employee is not enforceable</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against the school if the employee committed an act resulting in a</w:t>
      </w:r>
    </w:p>
    <w:p w:rsidR="007C31CF" w:rsidRPr="00F93C55" w:rsidRDefault="007C31CF" w:rsidP="007C31CF">
      <w:pPr>
        <w:autoSpaceDE w:val="0"/>
        <w:autoSpaceDN w:val="0"/>
        <w:adjustRightInd w:val="0"/>
        <w:spacing w:after="0" w:line="240" w:lineRule="auto"/>
        <w:ind w:firstLine="720"/>
        <w:rPr>
          <w:rFonts w:cs="TimesNewRomanPSMT,Bold"/>
          <w:bCs/>
        </w:rPr>
      </w:pPr>
      <w:r w:rsidRPr="00F93C55">
        <w:rPr>
          <w:rFonts w:cs="TimesNewRomanPSMT,Bold"/>
          <w:bCs/>
        </w:rPr>
        <w:t>substantiated report of abuse or neglect under IC 31-6 (before its</w:t>
      </w:r>
    </w:p>
    <w:p w:rsidR="007C31CF" w:rsidRPr="00F93C55" w:rsidRDefault="007C31CF" w:rsidP="007C31CF">
      <w:pPr>
        <w:ind w:firstLine="720"/>
      </w:pPr>
      <w:r w:rsidRPr="00F93C55">
        <w:rPr>
          <w:rFonts w:cs="TimesNewRomanPSMT,Bold"/>
          <w:bCs/>
        </w:rPr>
        <w:t>repeal) or IC 31-33.</w:t>
      </w:r>
    </w:p>
    <w:p w:rsidR="00971D80" w:rsidRDefault="00971D80" w:rsidP="008A37D2">
      <w:pPr>
        <w:pStyle w:val="ListParagraph"/>
        <w:autoSpaceDE w:val="0"/>
        <w:autoSpaceDN w:val="0"/>
        <w:adjustRightInd w:val="0"/>
        <w:spacing w:after="0" w:line="240" w:lineRule="auto"/>
        <w:rPr>
          <w:rFonts w:eastAsia="Times New Roman" w:cs="Times New Roman"/>
          <w:bCs/>
          <w:color w:val="000000"/>
        </w:rPr>
      </w:pPr>
    </w:p>
    <w:p w:rsidR="00971D80" w:rsidRPr="007F3923" w:rsidRDefault="00971D80" w:rsidP="008A37D2">
      <w:pPr>
        <w:pStyle w:val="ListParagraph"/>
        <w:autoSpaceDE w:val="0"/>
        <w:autoSpaceDN w:val="0"/>
        <w:adjustRightInd w:val="0"/>
        <w:spacing w:after="0" w:line="240" w:lineRule="auto"/>
        <w:rPr>
          <w:rFonts w:eastAsia="Times New Roman" w:cs="Times New Roman"/>
          <w:bCs/>
          <w:color w:val="000000"/>
        </w:rPr>
      </w:pPr>
      <w:r>
        <w:rPr>
          <w:rFonts w:eastAsia="Times New Roman" w:cs="Times New Roman"/>
          <w:bCs/>
          <w:color w:val="000000"/>
        </w:rPr>
        <w:t xml:space="preserve">Please refer to the accompanying FAQ on Expanded Criminal History Checks, Expanded Child Protection Index Checks and Confidentiality Agreements updated </w:t>
      </w:r>
      <w:r w:rsidR="00F93C55">
        <w:rPr>
          <w:rFonts w:eastAsia="Times New Roman" w:cs="Times New Roman"/>
          <w:bCs/>
          <w:color w:val="000000"/>
        </w:rPr>
        <w:t>May</w:t>
      </w:r>
      <w:r>
        <w:rPr>
          <w:rFonts w:eastAsia="Times New Roman" w:cs="Times New Roman"/>
          <w:bCs/>
          <w:color w:val="000000"/>
        </w:rPr>
        <w:t xml:space="preserve"> 2016. </w:t>
      </w:r>
    </w:p>
    <w:sectPr w:rsidR="00971D80" w:rsidRPr="007F3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NewRomanPSM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C718B"/>
    <w:multiLevelType w:val="hybridMultilevel"/>
    <w:tmpl w:val="C1F2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A7"/>
    <w:rsid w:val="00020AA7"/>
    <w:rsid w:val="00096DF8"/>
    <w:rsid w:val="000E41D0"/>
    <w:rsid w:val="001310CD"/>
    <w:rsid w:val="00136485"/>
    <w:rsid w:val="00137D72"/>
    <w:rsid w:val="001559FD"/>
    <w:rsid w:val="004279BD"/>
    <w:rsid w:val="00586BE8"/>
    <w:rsid w:val="005E5AEF"/>
    <w:rsid w:val="006C32D8"/>
    <w:rsid w:val="006C5A9D"/>
    <w:rsid w:val="00777F74"/>
    <w:rsid w:val="00784722"/>
    <w:rsid w:val="007C31CF"/>
    <w:rsid w:val="007F0307"/>
    <w:rsid w:val="007F3923"/>
    <w:rsid w:val="00806726"/>
    <w:rsid w:val="008359A1"/>
    <w:rsid w:val="008A37D2"/>
    <w:rsid w:val="008B5825"/>
    <w:rsid w:val="0094630B"/>
    <w:rsid w:val="00971D80"/>
    <w:rsid w:val="00995988"/>
    <w:rsid w:val="00A3769D"/>
    <w:rsid w:val="00AC6B39"/>
    <w:rsid w:val="00AF2E4E"/>
    <w:rsid w:val="00B0621F"/>
    <w:rsid w:val="00B221F1"/>
    <w:rsid w:val="00B90CF9"/>
    <w:rsid w:val="00BB5FBF"/>
    <w:rsid w:val="00C303AF"/>
    <w:rsid w:val="00C431CF"/>
    <w:rsid w:val="00C676C7"/>
    <w:rsid w:val="00EB5927"/>
    <w:rsid w:val="00F17BD4"/>
    <w:rsid w:val="00F76DFC"/>
    <w:rsid w:val="00F93C55"/>
    <w:rsid w:val="00FA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A7"/>
    <w:rPr>
      <w:rFonts w:ascii="Tahoma" w:hAnsi="Tahoma" w:cs="Tahoma"/>
      <w:sz w:val="16"/>
      <w:szCs w:val="16"/>
    </w:rPr>
  </w:style>
  <w:style w:type="paragraph" w:styleId="NoSpacing">
    <w:name w:val="No Spacing"/>
    <w:uiPriority w:val="1"/>
    <w:qFormat/>
    <w:rsid w:val="00020AA7"/>
    <w:pPr>
      <w:spacing w:after="0" w:line="240" w:lineRule="auto"/>
    </w:pPr>
  </w:style>
  <w:style w:type="paragraph" w:styleId="ListParagraph">
    <w:name w:val="List Paragraph"/>
    <w:basedOn w:val="Normal"/>
    <w:uiPriority w:val="34"/>
    <w:qFormat/>
    <w:rsid w:val="006C5A9D"/>
    <w:pPr>
      <w:ind w:left="720"/>
      <w:contextualSpacing/>
    </w:pPr>
  </w:style>
  <w:style w:type="character" w:styleId="Hyperlink">
    <w:name w:val="Hyperlink"/>
    <w:basedOn w:val="DefaultParagraphFont"/>
    <w:uiPriority w:val="99"/>
    <w:unhideWhenUsed/>
    <w:rsid w:val="00F93C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AA7"/>
    <w:rPr>
      <w:rFonts w:ascii="Tahoma" w:hAnsi="Tahoma" w:cs="Tahoma"/>
      <w:sz w:val="16"/>
      <w:szCs w:val="16"/>
    </w:rPr>
  </w:style>
  <w:style w:type="paragraph" w:styleId="NoSpacing">
    <w:name w:val="No Spacing"/>
    <w:uiPriority w:val="1"/>
    <w:qFormat/>
    <w:rsid w:val="00020AA7"/>
    <w:pPr>
      <w:spacing w:after="0" w:line="240" w:lineRule="auto"/>
    </w:pPr>
  </w:style>
  <w:style w:type="paragraph" w:styleId="ListParagraph">
    <w:name w:val="List Paragraph"/>
    <w:basedOn w:val="Normal"/>
    <w:uiPriority w:val="34"/>
    <w:qFormat/>
    <w:rsid w:val="006C5A9D"/>
    <w:pPr>
      <w:ind w:left="720"/>
      <w:contextualSpacing/>
    </w:pPr>
  </w:style>
  <w:style w:type="character" w:styleId="Hyperlink">
    <w:name w:val="Hyperlink"/>
    <w:basedOn w:val="DefaultParagraphFont"/>
    <w:uiPriority w:val="99"/>
    <w:unhideWhenUsed/>
    <w:rsid w:val="00F93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44527">
      <w:bodyDiv w:val="1"/>
      <w:marLeft w:val="0"/>
      <w:marRight w:val="0"/>
      <w:marTop w:val="0"/>
      <w:marBottom w:val="0"/>
      <w:divBdr>
        <w:top w:val="none" w:sz="0" w:space="0" w:color="auto"/>
        <w:left w:val="none" w:sz="0" w:space="0" w:color="auto"/>
        <w:bottom w:val="none" w:sz="0" w:space="0" w:color="auto"/>
        <w:right w:val="none" w:sz="0" w:space="0" w:color="auto"/>
      </w:divBdr>
    </w:div>
    <w:div w:id="2121297831">
      <w:bodyDiv w:val="1"/>
      <w:marLeft w:val="0"/>
      <w:marRight w:val="0"/>
      <w:marTop w:val="0"/>
      <w:marBottom w:val="0"/>
      <w:divBdr>
        <w:top w:val="none" w:sz="0" w:space="0" w:color="auto"/>
        <w:left w:val="none" w:sz="0" w:space="0" w:color="auto"/>
        <w:bottom w:val="none" w:sz="0" w:space="0" w:color="auto"/>
        <w:right w:val="none" w:sz="0" w:space="0" w:color="auto"/>
      </w:divBdr>
      <w:divsChild>
        <w:div w:id="300578124">
          <w:marLeft w:val="0"/>
          <w:marRight w:val="0"/>
          <w:marTop w:val="0"/>
          <w:marBottom w:val="0"/>
          <w:divBdr>
            <w:top w:val="none" w:sz="0" w:space="0" w:color="auto"/>
            <w:left w:val="none" w:sz="0" w:space="0" w:color="auto"/>
            <w:bottom w:val="none" w:sz="0" w:space="0" w:color="auto"/>
            <w:right w:val="none" w:sz="0" w:space="0" w:color="auto"/>
          </w:divBdr>
          <w:divsChild>
            <w:div w:id="1272395463">
              <w:marLeft w:val="0"/>
              <w:marRight w:val="0"/>
              <w:marTop w:val="0"/>
              <w:marBottom w:val="0"/>
              <w:divBdr>
                <w:top w:val="none" w:sz="0" w:space="0" w:color="auto"/>
                <w:left w:val="none" w:sz="0" w:space="0" w:color="auto"/>
                <w:bottom w:val="none" w:sz="0" w:space="0" w:color="auto"/>
                <w:right w:val="none" w:sz="0" w:space="0" w:color="auto"/>
              </w:divBdr>
              <w:divsChild>
                <w:div w:id="2046952417">
                  <w:marLeft w:val="0"/>
                  <w:marRight w:val="0"/>
                  <w:marTop w:val="0"/>
                  <w:marBottom w:val="0"/>
                  <w:divBdr>
                    <w:top w:val="none" w:sz="0" w:space="0" w:color="auto"/>
                    <w:left w:val="none" w:sz="0" w:space="0" w:color="auto"/>
                    <w:bottom w:val="none" w:sz="0" w:space="0" w:color="auto"/>
                    <w:right w:val="none" w:sz="0" w:space="0" w:color="auto"/>
                  </w:divBdr>
                  <w:divsChild>
                    <w:div w:id="572665736">
                      <w:marLeft w:val="0"/>
                      <w:marRight w:val="0"/>
                      <w:marTop w:val="0"/>
                      <w:marBottom w:val="0"/>
                      <w:divBdr>
                        <w:top w:val="none" w:sz="0" w:space="0" w:color="auto"/>
                        <w:left w:val="none" w:sz="0" w:space="0" w:color="auto"/>
                        <w:bottom w:val="none" w:sz="0" w:space="0" w:color="auto"/>
                        <w:right w:val="none" w:sz="0" w:space="0" w:color="auto"/>
                      </w:divBdr>
                      <w:divsChild>
                        <w:div w:id="1549030670">
                          <w:marLeft w:val="0"/>
                          <w:marRight w:val="0"/>
                          <w:marTop w:val="0"/>
                          <w:marBottom w:val="0"/>
                          <w:divBdr>
                            <w:top w:val="none" w:sz="0" w:space="0" w:color="auto"/>
                            <w:left w:val="none" w:sz="0" w:space="0" w:color="auto"/>
                            <w:bottom w:val="none" w:sz="0" w:space="0" w:color="auto"/>
                            <w:right w:val="none" w:sz="0" w:space="0" w:color="auto"/>
                          </w:divBdr>
                          <w:divsChild>
                            <w:div w:id="1356275029">
                              <w:marLeft w:val="0"/>
                              <w:marRight w:val="0"/>
                              <w:marTop w:val="0"/>
                              <w:marBottom w:val="0"/>
                              <w:divBdr>
                                <w:top w:val="none" w:sz="0" w:space="0" w:color="auto"/>
                                <w:left w:val="none" w:sz="0" w:space="0" w:color="auto"/>
                                <w:bottom w:val="none" w:sz="0" w:space="0" w:color="auto"/>
                                <w:right w:val="none" w:sz="0" w:space="0" w:color="auto"/>
                              </w:divBdr>
                              <w:divsChild>
                                <w:div w:id="1829520214">
                                  <w:marLeft w:val="0"/>
                                  <w:marRight w:val="0"/>
                                  <w:marTop w:val="0"/>
                                  <w:marBottom w:val="0"/>
                                  <w:divBdr>
                                    <w:top w:val="none" w:sz="0" w:space="0" w:color="auto"/>
                                    <w:left w:val="none" w:sz="0" w:space="0" w:color="auto"/>
                                    <w:bottom w:val="none" w:sz="0" w:space="0" w:color="auto"/>
                                    <w:right w:val="none" w:sz="0" w:space="0" w:color="auto"/>
                                  </w:divBdr>
                                  <w:divsChild>
                                    <w:div w:id="1752039530">
                                      <w:marLeft w:val="0"/>
                                      <w:marRight w:val="0"/>
                                      <w:marTop w:val="0"/>
                                      <w:marBottom w:val="0"/>
                                      <w:divBdr>
                                        <w:top w:val="none" w:sz="0" w:space="0" w:color="auto"/>
                                        <w:left w:val="none" w:sz="0" w:space="0" w:color="auto"/>
                                        <w:bottom w:val="none" w:sz="0" w:space="0" w:color="auto"/>
                                        <w:right w:val="none" w:sz="0" w:space="0" w:color="auto"/>
                                      </w:divBdr>
                                      <w:divsChild>
                                        <w:div w:id="1316838946">
                                          <w:marLeft w:val="0"/>
                                          <w:marRight w:val="0"/>
                                          <w:marTop w:val="0"/>
                                          <w:marBottom w:val="0"/>
                                          <w:divBdr>
                                            <w:top w:val="none" w:sz="0" w:space="0" w:color="auto"/>
                                            <w:left w:val="none" w:sz="0" w:space="0" w:color="auto"/>
                                            <w:bottom w:val="none" w:sz="0" w:space="0" w:color="auto"/>
                                            <w:right w:val="none" w:sz="0" w:space="0" w:color="auto"/>
                                          </w:divBdr>
                                        </w:div>
                                        <w:div w:id="1856574810">
                                          <w:marLeft w:val="0"/>
                                          <w:marRight w:val="0"/>
                                          <w:marTop w:val="0"/>
                                          <w:marBottom w:val="0"/>
                                          <w:divBdr>
                                            <w:top w:val="none" w:sz="0" w:space="0" w:color="auto"/>
                                            <w:left w:val="none" w:sz="0" w:space="0" w:color="auto"/>
                                            <w:bottom w:val="none" w:sz="0" w:space="0" w:color="auto"/>
                                            <w:right w:val="none" w:sz="0" w:space="0" w:color="auto"/>
                                          </w:divBdr>
                                        </w:div>
                                        <w:div w:id="9816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dcs/3761.htm" TargetMode="External"/><Relationship Id="rId3" Type="http://schemas.microsoft.com/office/2007/relationships/stylesWithEffects" Target="stylesWithEffects.xml"/><Relationship Id="rId7" Type="http://schemas.openxmlformats.org/officeDocument/2006/relationships/hyperlink" Target="https://secure.in.gov/d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6797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Regnier</dc:creator>
  <cp:lastModifiedBy>Zimmerman, Andrea</cp:lastModifiedBy>
  <cp:revision>2</cp:revision>
  <dcterms:created xsi:type="dcterms:W3CDTF">2016-06-08T19:31:00Z</dcterms:created>
  <dcterms:modified xsi:type="dcterms:W3CDTF">2016-06-08T19:31:00Z</dcterms:modified>
</cp:coreProperties>
</file>