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C7AA" w14:textId="77777777" w:rsidR="00A65570" w:rsidRPr="008E7268" w:rsidRDefault="00A65570" w:rsidP="00A65570">
      <w:pPr>
        <w:jc w:val="center"/>
        <w:rPr>
          <w:b/>
          <w:bCs/>
          <w:sz w:val="48"/>
          <w:szCs w:val="48"/>
        </w:rPr>
      </w:pPr>
      <w:r w:rsidRPr="008E7268">
        <w:rPr>
          <w:b/>
          <w:bCs/>
          <w:sz w:val="48"/>
          <w:szCs w:val="48"/>
        </w:rPr>
        <w:t>School Choice Myth Buster</w:t>
      </w:r>
    </w:p>
    <w:p w14:paraId="16E750DA" w14:textId="7A03640E" w:rsidR="00A65570" w:rsidRDefault="00A65570" w:rsidP="00A65570">
      <w:r>
        <w:t xml:space="preserve">Opposition to expanding private school choice (Voucher program and ESA) has 5 main talking points- NONE of which are true when looking at the </w:t>
      </w:r>
      <w:hyperlink r:id="rId5" w:history="1">
        <w:r>
          <w:rPr>
            <w:rStyle w:val="Hyperlink"/>
          </w:rPr>
          <w:t>scientific research and evidence</w:t>
        </w:r>
      </w:hyperlink>
      <w:r>
        <w:t xml:space="preserve">. </w:t>
      </w:r>
    </w:p>
    <w:p w14:paraId="287D0B92" w14:textId="77777777" w:rsidR="00A65570" w:rsidRDefault="00A65570" w:rsidP="00A65570"/>
    <w:p w14:paraId="04F6FDF2" w14:textId="2F9F13DE" w:rsidR="00A65570" w:rsidRPr="00A65570" w:rsidRDefault="00A65570" w:rsidP="00D3470C">
      <w:pPr>
        <w:rPr>
          <w:rFonts w:eastAsia="Times New Roman"/>
        </w:rPr>
      </w:pPr>
      <w:r w:rsidRPr="00A61EA0">
        <w:rPr>
          <w:rFonts w:eastAsia="Times New Roman"/>
          <w:b/>
          <w:bCs/>
          <w:color w:val="0070C0"/>
        </w:rPr>
        <w:t xml:space="preserve">MYTH 1:  </w:t>
      </w:r>
      <w:r w:rsidR="00805EB8" w:rsidRPr="00A61EA0">
        <w:rPr>
          <w:rFonts w:eastAsia="Times New Roman"/>
          <w:b/>
          <w:bCs/>
          <w:color w:val="0070C0"/>
        </w:rPr>
        <w:t xml:space="preserve">     </w:t>
      </w:r>
      <w:r w:rsidRPr="00A61EA0">
        <w:rPr>
          <w:rFonts w:eastAsia="Times New Roman"/>
          <w:b/>
          <w:bCs/>
          <w:color w:val="0070C0"/>
        </w:rPr>
        <w:t>Choice undermines public school funding and cost taxpayers/ public schools</w:t>
      </w:r>
      <w:r w:rsidRPr="00A65570">
        <w:rPr>
          <w:rFonts w:eastAsia="Times New Roman"/>
        </w:rPr>
        <w:t xml:space="preserve">. </w:t>
      </w:r>
    </w:p>
    <w:p w14:paraId="56FD34EE" w14:textId="50C35B91" w:rsidR="00A65570" w:rsidRPr="00A61EA0" w:rsidRDefault="00A65570" w:rsidP="00805EB8">
      <w:pPr>
        <w:ind w:right="1440"/>
        <w:rPr>
          <w:rFonts w:eastAsia="Times New Roman"/>
          <w:b/>
          <w:bCs/>
        </w:rPr>
      </w:pPr>
      <w:r w:rsidRPr="00A61EA0">
        <w:rPr>
          <w:rFonts w:eastAsia="Times New Roman"/>
          <w:b/>
          <w:bCs/>
        </w:rPr>
        <w:t>FACTS:</w:t>
      </w:r>
    </w:p>
    <w:p w14:paraId="2D8920E0" w14:textId="146C38C4" w:rsidR="00805EB8" w:rsidRDefault="00805EB8" w:rsidP="00805EB8">
      <w:pPr>
        <w:pStyle w:val="ListParagraph"/>
        <w:numPr>
          <w:ilvl w:val="0"/>
          <w:numId w:val="5"/>
        </w:numPr>
        <w:spacing w:line="240" w:lineRule="auto"/>
      </w:pPr>
      <w:r>
        <w:t>Students who receive a voucher make up 3% of our entire K-12 student population but they receive only 2% of the funding.</w:t>
      </w:r>
      <w:r>
        <w:rPr>
          <w:rFonts w:eastAsia="Times New Roman"/>
        </w:rPr>
        <w:t xml:space="preserve">   (tuition support)</w:t>
      </w:r>
    </w:p>
    <w:p w14:paraId="00BEEA40" w14:textId="6F3038D0" w:rsidR="00805EB8" w:rsidRDefault="00805EB8" w:rsidP="00805EB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the 2019-2020 school year, the average voucher amount was $4,707, compared to the average traditional public-school state tuition support amount of $6,872. A voucher student receives, on average $2000 less in state money for their education PLUS, voucher students do not receive any federal or local dollars.</w:t>
      </w:r>
    </w:p>
    <w:p w14:paraId="372D478E" w14:textId="77777777" w:rsidR="00805EB8" w:rsidRDefault="00805EB8" w:rsidP="00805EB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In 2019-2020, the state awarded $172,776,489.99 in school vouchers. If each of the 36,707 voucher students would have attended their district public school instead of a private school, the state would have spent $239,239,229.73 in tuition support for those students.  </w:t>
      </w:r>
      <w:r>
        <w:rPr>
          <w:rFonts w:eastAsia="Times New Roman"/>
          <w:u w:val="single"/>
        </w:rPr>
        <w:t>That’s a savings of $66,462,739.74.</w:t>
      </w:r>
    </w:p>
    <w:p w14:paraId="12DBAD45" w14:textId="77777777" w:rsidR="00805EB8" w:rsidRDefault="00805EB8" w:rsidP="00805EB8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25 of 28 empirical studies on choice programs show a positive financial impact on taxpayers and school districts.  3 studies show choice programs are revenue neutral, and 0 studies showed negative effects.</w:t>
      </w:r>
    </w:p>
    <w:p w14:paraId="1092E2A5" w14:textId="77777777" w:rsidR="00805EB8" w:rsidRDefault="00805EB8" w:rsidP="00805EB8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Public schools retain their local and federal funding for children who leave the district. </w:t>
      </w:r>
    </w:p>
    <w:p w14:paraId="6E0D9EB8" w14:textId="273E10C4" w:rsidR="00805EB8" w:rsidRDefault="00805EB8" w:rsidP="00805EB8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Most choice programs give the student less dollars than what the district would’ve received, like Indiana’s current voucher program and proposed ESA program (Students receive 90% of tuition support). This results in a cost savings for the state and more money to go around for students remaining still in public school. </w:t>
      </w:r>
    </w:p>
    <w:p w14:paraId="1315FF01" w14:textId="77777777" w:rsidR="008E7268" w:rsidRDefault="008E7268" w:rsidP="008E7268">
      <w:pPr>
        <w:spacing w:before="100" w:beforeAutospacing="1" w:after="100" w:afterAutospacing="1"/>
        <w:rPr>
          <w:rFonts w:eastAsia="Times New Roman"/>
        </w:rPr>
      </w:pPr>
    </w:p>
    <w:p w14:paraId="0BFA77AE" w14:textId="72C5AF8F" w:rsidR="008363B4" w:rsidRPr="00EB7B25" w:rsidRDefault="007C20EF" w:rsidP="00EB7B25">
      <w:pPr>
        <w:ind w:left="360"/>
        <w:rPr>
          <w:rFonts w:eastAsia="Times New Roman"/>
          <w:b/>
          <w:bCs/>
          <w:color w:val="0070C0"/>
        </w:rPr>
      </w:pPr>
      <w:r w:rsidRPr="00A61EA0">
        <w:rPr>
          <w:rFonts w:eastAsia="Times New Roman"/>
          <w:b/>
          <w:bCs/>
          <w:color w:val="0070C0"/>
        </w:rPr>
        <w:t xml:space="preserve">MYTH </w:t>
      </w:r>
      <w:r w:rsidR="0005355D" w:rsidRPr="00A61EA0">
        <w:rPr>
          <w:rFonts w:eastAsia="Times New Roman"/>
          <w:b/>
          <w:bCs/>
          <w:color w:val="0070C0"/>
        </w:rPr>
        <w:t>2</w:t>
      </w:r>
      <w:r w:rsidRPr="00A61EA0">
        <w:rPr>
          <w:rFonts w:eastAsia="Times New Roman"/>
          <w:b/>
          <w:bCs/>
          <w:color w:val="0070C0"/>
        </w:rPr>
        <w:t>:</w:t>
      </w:r>
      <w:r w:rsidRPr="00A61EA0">
        <w:rPr>
          <w:rFonts w:eastAsia="Times New Roman"/>
          <w:b/>
          <w:bCs/>
          <w:color w:val="0070C0"/>
        </w:rPr>
        <w:tab/>
      </w:r>
      <w:r w:rsidR="00A65570" w:rsidRPr="00A61EA0">
        <w:rPr>
          <w:rFonts w:eastAsia="Times New Roman"/>
          <w:b/>
          <w:bCs/>
          <w:color w:val="0070C0"/>
        </w:rPr>
        <w:t xml:space="preserve">Choice does not lead to better </w:t>
      </w:r>
      <w:r w:rsidRPr="00A61EA0">
        <w:rPr>
          <w:rFonts w:eastAsia="Times New Roman"/>
          <w:b/>
          <w:bCs/>
          <w:color w:val="0070C0"/>
        </w:rPr>
        <w:t xml:space="preserve">academic </w:t>
      </w:r>
      <w:r w:rsidR="00A65570" w:rsidRPr="00A61EA0">
        <w:rPr>
          <w:rFonts w:eastAsia="Times New Roman"/>
          <w:b/>
          <w:bCs/>
          <w:color w:val="0070C0"/>
        </w:rPr>
        <w:t xml:space="preserve">outcomes for students. </w:t>
      </w:r>
    </w:p>
    <w:p w14:paraId="40AA5624" w14:textId="533FBD2D" w:rsidR="00724E29" w:rsidRPr="00A61EA0" w:rsidRDefault="008363B4" w:rsidP="008363B4">
      <w:pPr>
        <w:ind w:left="360"/>
        <w:rPr>
          <w:rFonts w:eastAsia="Times New Roman"/>
          <w:b/>
          <w:bCs/>
        </w:rPr>
      </w:pPr>
      <w:r w:rsidRPr="00A61EA0">
        <w:rPr>
          <w:rFonts w:eastAsia="Times New Roman"/>
          <w:b/>
          <w:bCs/>
        </w:rPr>
        <w:t>FACTS:</w:t>
      </w:r>
    </w:p>
    <w:p w14:paraId="54071A29" w14:textId="221C1818" w:rsidR="00724E29" w:rsidRDefault="00947FF8" w:rsidP="00724E29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2019 Student Growth Scores (Source:  DOE unredacted A-F student growth scores)</w:t>
      </w:r>
    </w:p>
    <w:p w14:paraId="2AD5247D" w14:textId="394D3130" w:rsidR="00947FF8" w:rsidRDefault="00F7630C" w:rsidP="006C5CEF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23 of the top 50 schools for growth at the 10</w:t>
      </w:r>
      <w:r w:rsidRPr="00F7630C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level are voucher schools</w:t>
      </w:r>
      <w:r w:rsidR="0000104A">
        <w:rPr>
          <w:rFonts w:eastAsia="Times New Roman"/>
        </w:rPr>
        <w:t>.</w:t>
      </w:r>
    </w:p>
    <w:p w14:paraId="250234F3" w14:textId="1E0823AC" w:rsidR="00F7630C" w:rsidRDefault="00F7630C" w:rsidP="006C5CEF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8 o</w:t>
      </w:r>
      <w:r w:rsidR="0000104A">
        <w:rPr>
          <w:rFonts w:eastAsia="Times New Roman"/>
        </w:rPr>
        <w:t>ut of the top 10 are voucher schools.</w:t>
      </w:r>
    </w:p>
    <w:p w14:paraId="3AF8EA87" w14:textId="6CE672AE" w:rsidR="0000104A" w:rsidRDefault="0000104A" w:rsidP="006C5CEF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In fact, the top 5 schools in terms of growth are all voucher accepting schools.</w:t>
      </w:r>
    </w:p>
    <w:p w14:paraId="5FCA65BC" w14:textId="4D14AFD9" w:rsidR="009534AE" w:rsidRDefault="008D7421" w:rsidP="009534A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Proficiency – 2018 I-Learn/ ISTEP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0406" w14:paraId="398C8565" w14:textId="77777777" w:rsidTr="00D8195A">
        <w:tc>
          <w:tcPr>
            <w:tcW w:w="3116" w:type="dxa"/>
          </w:tcPr>
          <w:p w14:paraId="69B16529" w14:textId="722756F0" w:rsidR="001A0406" w:rsidRPr="00BE4727" w:rsidRDefault="00D8195A" w:rsidP="00BE4727">
            <w:pPr>
              <w:jc w:val="center"/>
              <w:rPr>
                <w:rFonts w:eastAsia="Times New Roman"/>
                <w:b/>
                <w:bCs/>
              </w:rPr>
            </w:pPr>
            <w:r w:rsidRPr="00BE4727">
              <w:rPr>
                <w:rFonts w:eastAsia="Times New Roman"/>
                <w:b/>
                <w:bCs/>
              </w:rPr>
              <w:t>School Type</w:t>
            </w:r>
          </w:p>
        </w:tc>
        <w:tc>
          <w:tcPr>
            <w:tcW w:w="3117" w:type="dxa"/>
          </w:tcPr>
          <w:p w14:paraId="5582D62C" w14:textId="0399F119" w:rsidR="001A0406" w:rsidRPr="00BE4727" w:rsidRDefault="00D8195A" w:rsidP="00BE4727">
            <w:pPr>
              <w:jc w:val="center"/>
              <w:rPr>
                <w:rFonts w:eastAsia="Times New Roman"/>
                <w:b/>
                <w:bCs/>
              </w:rPr>
            </w:pPr>
            <w:r w:rsidRPr="00BE4727">
              <w:rPr>
                <w:rFonts w:eastAsia="Times New Roman"/>
                <w:b/>
                <w:bCs/>
              </w:rPr>
              <w:t>ELA 2018 I-LEARN Pass Ra</w:t>
            </w:r>
            <w:r w:rsidR="00BE4727" w:rsidRPr="00BE4727">
              <w:rPr>
                <w:rFonts w:eastAsia="Times New Roman"/>
                <w:b/>
                <w:bCs/>
              </w:rPr>
              <w:t>te</w:t>
            </w:r>
          </w:p>
        </w:tc>
        <w:tc>
          <w:tcPr>
            <w:tcW w:w="3117" w:type="dxa"/>
          </w:tcPr>
          <w:p w14:paraId="175F2EA1" w14:textId="1CF8902D" w:rsidR="001A0406" w:rsidRPr="00BE4727" w:rsidRDefault="00BE4727" w:rsidP="00BE4727">
            <w:pPr>
              <w:jc w:val="center"/>
              <w:rPr>
                <w:rFonts w:eastAsia="Times New Roman"/>
                <w:b/>
                <w:bCs/>
              </w:rPr>
            </w:pPr>
            <w:r w:rsidRPr="00BE4727">
              <w:rPr>
                <w:rFonts w:eastAsia="Times New Roman"/>
                <w:b/>
                <w:bCs/>
              </w:rPr>
              <w:t>Math 2018 I-LEARN Pass Rate</w:t>
            </w:r>
          </w:p>
        </w:tc>
      </w:tr>
      <w:tr w:rsidR="001A0406" w14:paraId="75A000D7" w14:textId="77777777" w:rsidTr="00D8195A">
        <w:tc>
          <w:tcPr>
            <w:tcW w:w="3116" w:type="dxa"/>
          </w:tcPr>
          <w:p w14:paraId="5EE6424A" w14:textId="314822C8" w:rsidR="001A0406" w:rsidRPr="00D8195A" w:rsidRDefault="002C66BD" w:rsidP="00D81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Nonpublic Grades 3-8</w:t>
            </w:r>
          </w:p>
        </w:tc>
        <w:tc>
          <w:tcPr>
            <w:tcW w:w="3117" w:type="dxa"/>
          </w:tcPr>
          <w:p w14:paraId="4289FF7A" w14:textId="4F679240" w:rsidR="001A0406" w:rsidRPr="00D8195A" w:rsidRDefault="00C15068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  <w:r w:rsidR="00DD5E9E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%</w:t>
            </w:r>
          </w:p>
        </w:tc>
        <w:tc>
          <w:tcPr>
            <w:tcW w:w="3117" w:type="dxa"/>
          </w:tcPr>
          <w:p w14:paraId="431AC90E" w14:textId="5C314983" w:rsidR="001A0406" w:rsidRPr="00D8195A" w:rsidRDefault="00A4000D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67.7%</w:t>
            </w:r>
          </w:p>
        </w:tc>
      </w:tr>
      <w:tr w:rsidR="001A0406" w14:paraId="33D898FD" w14:textId="77777777" w:rsidTr="00D8195A">
        <w:tc>
          <w:tcPr>
            <w:tcW w:w="3116" w:type="dxa"/>
          </w:tcPr>
          <w:p w14:paraId="164D2162" w14:textId="3577D204" w:rsidR="001A0406" w:rsidRPr="00D8195A" w:rsidRDefault="00CA2484" w:rsidP="00D81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Traditional Public Grades 3-8</w:t>
            </w:r>
          </w:p>
        </w:tc>
        <w:tc>
          <w:tcPr>
            <w:tcW w:w="3117" w:type="dxa"/>
          </w:tcPr>
          <w:p w14:paraId="28066806" w14:textId="5E4D9B15" w:rsidR="001A0406" w:rsidRPr="00D8195A" w:rsidRDefault="00DD5E9E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63.4%</w:t>
            </w:r>
          </w:p>
        </w:tc>
        <w:tc>
          <w:tcPr>
            <w:tcW w:w="3117" w:type="dxa"/>
          </w:tcPr>
          <w:p w14:paraId="18D1633B" w14:textId="32E9AA6E" w:rsidR="001A0406" w:rsidRPr="00D8195A" w:rsidRDefault="00A4000D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58.3%</w:t>
            </w:r>
          </w:p>
        </w:tc>
      </w:tr>
      <w:tr w:rsidR="001A0406" w14:paraId="137E3A93" w14:textId="77777777" w:rsidTr="00D8195A">
        <w:tc>
          <w:tcPr>
            <w:tcW w:w="3116" w:type="dxa"/>
          </w:tcPr>
          <w:p w14:paraId="1771F17D" w14:textId="0B73C326" w:rsidR="001A0406" w:rsidRPr="00D8195A" w:rsidRDefault="00CA2484" w:rsidP="00D81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Charter Grades 3-8</w:t>
            </w:r>
          </w:p>
        </w:tc>
        <w:tc>
          <w:tcPr>
            <w:tcW w:w="3117" w:type="dxa"/>
          </w:tcPr>
          <w:p w14:paraId="0949F825" w14:textId="1037AC82" w:rsidR="001A0406" w:rsidRPr="00D8195A" w:rsidRDefault="00DD5E9E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49.6%</w:t>
            </w:r>
          </w:p>
        </w:tc>
        <w:tc>
          <w:tcPr>
            <w:tcW w:w="3117" w:type="dxa"/>
          </w:tcPr>
          <w:p w14:paraId="75C14B9A" w14:textId="46EB58F6" w:rsidR="001A0406" w:rsidRPr="00D8195A" w:rsidRDefault="00A4000D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36.8%</w:t>
            </w:r>
          </w:p>
        </w:tc>
      </w:tr>
      <w:tr w:rsidR="001A0406" w14:paraId="6AE899A2" w14:textId="77777777" w:rsidTr="00D8195A">
        <w:tc>
          <w:tcPr>
            <w:tcW w:w="3116" w:type="dxa"/>
          </w:tcPr>
          <w:p w14:paraId="6C99D4F8" w14:textId="77777777" w:rsidR="001A0406" w:rsidRPr="00D8195A" w:rsidRDefault="001A0406" w:rsidP="00D8195A">
            <w:pPr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648C1771" w14:textId="77777777" w:rsidR="001A0406" w:rsidRPr="00D8195A" w:rsidRDefault="001A0406" w:rsidP="00DD5E9E">
            <w:pPr>
              <w:jc w:val="center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6D6C32DF" w14:textId="77777777" w:rsidR="001A0406" w:rsidRPr="00D8195A" w:rsidRDefault="001A0406" w:rsidP="00DD5E9E">
            <w:pPr>
              <w:jc w:val="center"/>
              <w:rPr>
                <w:rFonts w:eastAsia="Times New Roman"/>
              </w:rPr>
            </w:pPr>
          </w:p>
        </w:tc>
      </w:tr>
      <w:tr w:rsidR="001A0406" w14:paraId="6292CE89" w14:textId="77777777" w:rsidTr="00D8195A">
        <w:tc>
          <w:tcPr>
            <w:tcW w:w="3116" w:type="dxa"/>
          </w:tcPr>
          <w:p w14:paraId="785AC92B" w14:textId="673076AD" w:rsidR="001A0406" w:rsidRPr="00D8195A" w:rsidRDefault="00CA2484" w:rsidP="00D81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Nonpublic Grade 10</w:t>
            </w:r>
          </w:p>
        </w:tc>
        <w:tc>
          <w:tcPr>
            <w:tcW w:w="3117" w:type="dxa"/>
          </w:tcPr>
          <w:p w14:paraId="4DE4776C" w14:textId="5896B5F0" w:rsidR="001A0406" w:rsidRPr="00D8195A" w:rsidRDefault="00DD5E9E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75.2%</w:t>
            </w:r>
          </w:p>
        </w:tc>
        <w:tc>
          <w:tcPr>
            <w:tcW w:w="3117" w:type="dxa"/>
          </w:tcPr>
          <w:p w14:paraId="50C64D5D" w14:textId="25028B64" w:rsidR="001A0406" w:rsidRPr="00D8195A" w:rsidRDefault="00A4000D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49.8%</w:t>
            </w:r>
          </w:p>
        </w:tc>
      </w:tr>
      <w:tr w:rsidR="001A0406" w14:paraId="685956FE" w14:textId="77777777" w:rsidTr="00D8195A">
        <w:tc>
          <w:tcPr>
            <w:tcW w:w="3116" w:type="dxa"/>
          </w:tcPr>
          <w:p w14:paraId="350A513C" w14:textId="6B1011E8" w:rsidR="001A0406" w:rsidRPr="00D8195A" w:rsidRDefault="00CA2484" w:rsidP="00D81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Traditional Public Grade 10</w:t>
            </w:r>
          </w:p>
        </w:tc>
        <w:tc>
          <w:tcPr>
            <w:tcW w:w="3117" w:type="dxa"/>
          </w:tcPr>
          <w:p w14:paraId="67DB411D" w14:textId="11D00F1E" w:rsidR="001A0406" w:rsidRPr="00D8195A" w:rsidRDefault="00DD5E9E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58.4%</w:t>
            </w:r>
          </w:p>
        </w:tc>
        <w:tc>
          <w:tcPr>
            <w:tcW w:w="3117" w:type="dxa"/>
          </w:tcPr>
          <w:p w14:paraId="615DD8F7" w14:textId="512A78C3" w:rsidR="001A0406" w:rsidRPr="00D8195A" w:rsidRDefault="00A4000D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35.9%</w:t>
            </w:r>
          </w:p>
        </w:tc>
      </w:tr>
      <w:tr w:rsidR="001A0406" w14:paraId="6BE0E4E7" w14:textId="77777777" w:rsidTr="00D8195A">
        <w:tc>
          <w:tcPr>
            <w:tcW w:w="3116" w:type="dxa"/>
          </w:tcPr>
          <w:p w14:paraId="466B3141" w14:textId="6259177E" w:rsidR="001A0406" w:rsidRPr="00D8195A" w:rsidRDefault="00CA2484" w:rsidP="00D819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Charter Grade 10</w:t>
            </w:r>
          </w:p>
        </w:tc>
        <w:tc>
          <w:tcPr>
            <w:tcW w:w="3117" w:type="dxa"/>
          </w:tcPr>
          <w:p w14:paraId="194D626F" w14:textId="40DEFBEF" w:rsidR="001A0406" w:rsidRPr="00D8195A" w:rsidRDefault="00DD5E9E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47.9%</w:t>
            </w:r>
          </w:p>
        </w:tc>
        <w:tc>
          <w:tcPr>
            <w:tcW w:w="3117" w:type="dxa"/>
          </w:tcPr>
          <w:p w14:paraId="48C5EB4E" w14:textId="4637B8F5" w:rsidR="001A0406" w:rsidRPr="00D8195A" w:rsidRDefault="00A4000D" w:rsidP="00DD5E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22.0%</w:t>
            </w:r>
          </w:p>
        </w:tc>
      </w:tr>
    </w:tbl>
    <w:p w14:paraId="2DAAECBA" w14:textId="1264C9E6" w:rsidR="008D7421" w:rsidRDefault="00E40690" w:rsidP="006C5CE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6 of the top 7 schools in the state on the I-Step 1</w:t>
      </w:r>
      <w:r w:rsidR="007D61B5">
        <w:rPr>
          <w:rFonts w:eastAsia="Times New Roman"/>
        </w:rPr>
        <w:t>0 are nonpublic (voucher) schools</w:t>
      </w:r>
    </w:p>
    <w:p w14:paraId="3FA227B7" w14:textId="066639B0" w:rsidR="007D61B5" w:rsidRDefault="005F3A52" w:rsidP="006C5CE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25 of the top 50 high schools are nonpublic (voucher) schools</w:t>
      </w:r>
    </w:p>
    <w:p w14:paraId="1ABFBA2E" w14:textId="2BAE2E41" w:rsidR="005F3A52" w:rsidRDefault="005F3A52" w:rsidP="006C5CEF">
      <w:pPr>
        <w:pStyle w:val="ListParagraph"/>
        <w:numPr>
          <w:ilvl w:val="1"/>
          <w:numId w:val="10"/>
        </w:numPr>
        <w:rPr>
          <w:rFonts w:eastAsia="Times New Roman"/>
        </w:rPr>
      </w:pPr>
      <w:r>
        <w:rPr>
          <w:rFonts w:eastAsia="Times New Roman"/>
        </w:rPr>
        <w:t>19 of the top 50 grade 3-8 schools are nonpublic (voucher) schools</w:t>
      </w:r>
    </w:p>
    <w:p w14:paraId="54312BF5" w14:textId="3E32F3F0" w:rsidR="00EE520E" w:rsidRDefault="00EE520E" w:rsidP="00EE520E">
      <w:pPr>
        <w:rPr>
          <w:rFonts w:eastAsia="Times New Roman"/>
        </w:rPr>
      </w:pPr>
    </w:p>
    <w:p w14:paraId="43C51208" w14:textId="3F9D4617" w:rsidR="00EB7B25" w:rsidRDefault="00EB7B25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F96BFAB" w14:textId="77777777" w:rsidR="00EE520E" w:rsidRPr="00EE520E" w:rsidRDefault="00EE520E" w:rsidP="00EE520E">
      <w:pPr>
        <w:rPr>
          <w:rFonts w:eastAsia="Times New Roman"/>
        </w:rPr>
      </w:pPr>
    </w:p>
    <w:p w14:paraId="0FD39E02" w14:textId="488F43F9" w:rsidR="00590498" w:rsidRDefault="00590498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Nationally, there have been more than 150 studies on school choice – more than any other education reform policy.</w:t>
      </w:r>
    </w:p>
    <w:p w14:paraId="0B223827" w14:textId="25F4994C" w:rsidR="00590498" w:rsidRDefault="00590498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Students in private school choice programs see academic benefits.</w:t>
      </w:r>
    </w:p>
    <w:p w14:paraId="1E27D3F5" w14:textId="77777777" w:rsidR="00590498" w:rsidRDefault="00590498" w:rsidP="0059049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Of the </w:t>
      </w:r>
      <w:r w:rsidR="00A65570">
        <w:rPr>
          <w:rFonts w:eastAsia="Times New Roman"/>
        </w:rPr>
        <w:t>18 gold-standard studies</w:t>
      </w:r>
      <w:r>
        <w:rPr>
          <w:rFonts w:eastAsia="Times New Roman"/>
        </w:rPr>
        <w:t xml:space="preserve"> on the academic outcomes of participating students:  </w:t>
      </w:r>
    </w:p>
    <w:p w14:paraId="17691607" w14:textId="0AF39433" w:rsidR="00590498" w:rsidRDefault="00590498" w:rsidP="0059049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14 </w:t>
      </w:r>
      <w:r w:rsidR="00A65570">
        <w:rPr>
          <w:rFonts w:eastAsia="Times New Roman"/>
        </w:rPr>
        <w:t xml:space="preserve">showed positive academic results for choice participants, </w:t>
      </w:r>
    </w:p>
    <w:p w14:paraId="0ED756D4" w14:textId="77777777" w:rsidR="00590498" w:rsidRDefault="00590498" w:rsidP="0059049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2</w:t>
      </w:r>
      <w:r w:rsidR="00A65570">
        <w:rPr>
          <w:rFonts w:eastAsia="Times New Roman"/>
        </w:rPr>
        <w:t xml:space="preserve"> had neutral findings</w:t>
      </w:r>
      <w:r>
        <w:rPr>
          <w:rFonts w:eastAsia="Times New Roman"/>
        </w:rPr>
        <w:t>,</w:t>
      </w:r>
      <w:r w:rsidR="00A65570">
        <w:rPr>
          <w:rFonts w:eastAsia="Times New Roman"/>
        </w:rPr>
        <w:t xml:space="preserve"> and</w:t>
      </w:r>
    </w:p>
    <w:p w14:paraId="32CE7551" w14:textId="3C4D2A41" w:rsidR="00A65570" w:rsidRDefault="00A65570" w:rsidP="0059049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590498">
        <w:rPr>
          <w:rFonts w:eastAsia="Times New Roman"/>
        </w:rPr>
        <w:t>2</w:t>
      </w:r>
      <w:r>
        <w:rPr>
          <w:rFonts w:eastAsia="Times New Roman"/>
        </w:rPr>
        <w:t xml:space="preserve"> have negative findings</w:t>
      </w:r>
    </w:p>
    <w:p w14:paraId="52770378" w14:textId="228DCB69" w:rsidR="00590498" w:rsidRDefault="00590498" w:rsidP="0059049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Of the </w:t>
      </w:r>
      <w:r w:rsidR="00A65570">
        <w:rPr>
          <w:rFonts w:eastAsia="Times New Roman"/>
        </w:rPr>
        <w:t>33 empirical studies</w:t>
      </w:r>
      <w:r>
        <w:rPr>
          <w:rFonts w:eastAsia="Times New Roman"/>
        </w:rPr>
        <w:t xml:space="preserve"> on the Academic Outcomes of the Students Remaining in Public Schools </w:t>
      </w:r>
    </w:p>
    <w:p w14:paraId="3577652A" w14:textId="11C970EE" w:rsidR="00A65570" w:rsidRDefault="00590498" w:rsidP="0059049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31</w:t>
      </w:r>
      <w:r w:rsidR="00A65570">
        <w:rPr>
          <w:rFonts w:eastAsia="Times New Roman"/>
        </w:rPr>
        <w:t xml:space="preserve"> showed positive academic outcomes for students remaining in public schools. </w:t>
      </w:r>
    </w:p>
    <w:p w14:paraId="77FE15E0" w14:textId="015C16CE" w:rsidR="00590498" w:rsidRDefault="00590498" w:rsidP="0059049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1 had neutral findings, and</w:t>
      </w:r>
    </w:p>
    <w:p w14:paraId="44E39BA0" w14:textId="34C14420" w:rsidR="00590498" w:rsidRDefault="00590498" w:rsidP="0059049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1 had negative findings</w:t>
      </w:r>
    </w:p>
    <w:p w14:paraId="755F5650" w14:textId="6A1C23D8" w:rsidR="00590498" w:rsidRDefault="00590498" w:rsidP="0059049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Notre Dame Study – What it really says:</w:t>
      </w:r>
    </w:p>
    <w:p w14:paraId="512BF546" w14:textId="77777777" w:rsidR="00290B49" w:rsidRPr="00290B49" w:rsidRDefault="00290B49" w:rsidP="00290B49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90B49">
        <w:rPr>
          <w:rFonts w:eastAsia="Times New Roman"/>
        </w:rPr>
        <w:t xml:space="preserve">Students entering the voucher program are academically behind their </w:t>
      </w:r>
      <w:proofErr w:type="gramStart"/>
      <w:r w:rsidRPr="00290B49">
        <w:rPr>
          <w:rFonts w:eastAsia="Times New Roman"/>
        </w:rPr>
        <w:t>public school</w:t>
      </w:r>
      <w:proofErr w:type="gramEnd"/>
      <w:r w:rsidRPr="00290B49">
        <w:rPr>
          <w:rFonts w:eastAsia="Times New Roman"/>
        </w:rPr>
        <w:t xml:space="preserve"> peers</w:t>
      </w:r>
    </w:p>
    <w:p w14:paraId="5A33D38D" w14:textId="77777777" w:rsidR="00A52B47" w:rsidRDefault="00290B49" w:rsidP="00290B49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90B49">
        <w:rPr>
          <w:rFonts w:eastAsia="Times New Roman"/>
        </w:rPr>
        <w:t xml:space="preserve">Based on ISTEP scores, </w:t>
      </w:r>
      <w:r>
        <w:rPr>
          <w:rFonts w:eastAsia="Times New Roman"/>
        </w:rPr>
        <w:t>voucher students a</w:t>
      </w:r>
      <w:r w:rsidR="00A52B47">
        <w:rPr>
          <w:rFonts w:eastAsia="Times New Roman"/>
        </w:rPr>
        <w:t xml:space="preserve">re academically behind their </w:t>
      </w:r>
      <w:proofErr w:type="gramStart"/>
      <w:r w:rsidR="00A52B47">
        <w:rPr>
          <w:rFonts w:eastAsia="Times New Roman"/>
        </w:rPr>
        <w:t>public school</w:t>
      </w:r>
      <w:proofErr w:type="gramEnd"/>
      <w:r w:rsidR="00A52B47">
        <w:rPr>
          <w:rFonts w:eastAsia="Times New Roman"/>
        </w:rPr>
        <w:t xml:space="preserve"> peers in years 1 and 2 of attend a private school.</w:t>
      </w:r>
    </w:p>
    <w:p w14:paraId="7AF48CC4" w14:textId="290105CA" w:rsidR="00290B49" w:rsidRPr="000432DC" w:rsidRDefault="00A52B47" w:rsidP="000432DC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B</w:t>
      </w:r>
      <w:r w:rsidR="00290B49" w:rsidRPr="00290B49">
        <w:rPr>
          <w:rFonts w:eastAsia="Times New Roman"/>
        </w:rPr>
        <w:t xml:space="preserve">y years 3 and 4, </w:t>
      </w:r>
      <w:r w:rsidR="000432DC">
        <w:rPr>
          <w:rFonts w:eastAsia="Times New Roman"/>
        </w:rPr>
        <w:t>voucher students</w:t>
      </w:r>
      <w:r w:rsidR="00290B49" w:rsidRPr="00290B49">
        <w:rPr>
          <w:rFonts w:eastAsia="Times New Roman"/>
        </w:rPr>
        <w:t xml:space="preserve"> catch-up in math and move ahead in English/ Language Arts</w:t>
      </w:r>
    </w:p>
    <w:p w14:paraId="5497F813" w14:textId="4DE48DFF" w:rsidR="00590498" w:rsidRDefault="006B3103" w:rsidP="0059049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By years 5 and 6 </w:t>
      </w:r>
      <w:r w:rsidR="00A247AD">
        <w:rPr>
          <w:rFonts w:eastAsia="Times New Roman"/>
        </w:rPr>
        <w:t xml:space="preserve">they are expected to surpass their </w:t>
      </w:r>
      <w:proofErr w:type="gramStart"/>
      <w:r w:rsidR="00A247AD">
        <w:rPr>
          <w:rFonts w:eastAsia="Times New Roman"/>
        </w:rPr>
        <w:t>public school</w:t>
      </w:r>
      <w:proofErr w:type="gramEnd"/>
      <w:r w:rsidR="00A247AD">
        <w:rPr>
          <w:rFonts w:eastAsia="Times New Roman"/>
        </w:rPr>
        <w:t xml:space="preserve"> peers academically </w:t>
      </w:r>
      <w:r w:rsidR="002213D9">
        <w:rPr>
          <w:rFonts w:eastAsia="Times New Roman"/>
        </w:rPr>
        <w:t>(the study did not gather data for this many years).</w:t>
      </w:r>
    </w:p>
    <w:p w14:paraId="54285829" w14:textId="3FBA7395" w:rsidR="008E7268" w:rsidRDefault="008E7268" w:rsidP="008E7268">
      <w:pPr>
        <w:rPr>
          <w:rFonts w:eastAsia="Times New Roman"/>
        </w:rPr>
      </w:pPr>
    </w:p>
    <w:p w14:paraId="6EF0FF15" w14:textId="77777777" w:rsidR="008E7268" w:rsidRPr="008E7268" w:rsidRDefault="008E7268" w:rsidP="008E7268">
      <w:pPr>
        <w:rPr>
          <w:rFonts w:eastAsia="Times New Roman"/>
        </w:rPr>
      </w:pPr>
    </w:p>
    <w:p w14:paraId="4D02F9CB" w14:textId="77777777" w:rsidR="004F5BD2" w:rsidRPr="00A61EA0" w:rsidRDefault="004F5BD2" w:rsidP="004F5BD2">
      <w:pPr>
        <w:rPr>
          <w:rFonts w:eastAsia="Times New Roman"/>
          <w:b/>
          <w:bCs/>
          <w:color w:val="0070C0"/>
        </w:rPr>
      </w:pPr>
    </w:p>
    <w:p w14:paraId="234A718C" w14:textId="68D41D06" w:rsidR="00A61EA0" w:rsidRPr="00A61EA0" w:rsidRDefault="000764A0" w:rsidP="00EB7B25">
      <w:pPr>
        <w:ind w:left="360"/>
        <w:rPr>
          <w:rFonts w:eastAsia="Times New Roman"/>
          <w:b/>
          <w:bCs/>
          <w:color w:val="0070C0"/>
        </w:rPr>
      </w:pPr>
      <w:r w:rsidRPr="00A61EA0">
        <w:rPr>
          <w:rFonts w:eastAsia="Times New Roman"/>
          <w:b/>
          <w:bCs/>
          <w:color w:val="0070C0"/>
        </w:rPr>
        <w:t xml:space="preserve">MYTH </w:t>
      </w:r>
      <w:r w:rsidR="00F725AD" w:rsidRPr="00A61EA0">
        <w:rPr>
          <w:rFonts w:eastAsia="Times New Roman"/>
          <w:b/>
          <w:bCs/>
          <w:color w:val="0070C0"/>
        </w:rPr>
        <w:t>3</w:t>
      </w:r>
      <w:r w:rsidR="005B1E3E" w:rsidRPr="00A61EA0">
        <w:rPr>
          <w:rFonts w:eastAsia="Times New Roman"/>
          <w:b/>
          <w:bCs/>
          <w:color w:val="0070C0"/>
        </w:rPr>
        <w:t>:</w:t>
      </w:r>
      <w:r w:rsidR="005B1E3E" w:rsidRPr="00A61EA0">
        <w:rPr>
          <w:rFonts w:eastAsia="Times New Roman"/>
          <w:b/>
          <w:bCs/>
          <w:color w:val="0070C0"/>
        </w:rPr>
        <w:tab/>
      </w:r>
      <w:r w:rsidR="00A65570" w:rsidRPr="00A61EA0">
        <w:rPr>
          <w:rFonts w:eastAsia="Times New Roman"/>
          <w:b/>
          <w:bCs/>
          <w:color w:val="0070C0"/>
        </w:rPr>
        <w:t>Choice programs do not have the same accountability as public schools.</w:t>
      </w:r>
    </w:p>
    <w:p w14:paraId="4A65DE2F" w14:textId="5A22C33D" w:rsidR="008363B4" w:rsidRPr="00A61EA0" w:rsidRDefault="008363B4" w:rsidP="008363B4">
      <w:pPr>
        <w:ind w:left="360"/>
        <w:rPr>
          <w:rFonts w:eastAsia="Times New Roman"/>
          <w:b/>
          <w:bCs/>
        </w:rPr>
      </w:pPr>
      <w:r w:rsidRPr="00A61EA0">
        <w:rPr>
          <w:rFonts w:eastAsia="Times New Roman"/>
          <w:b/>
          <w:bCs/>
        </w:rPr>
        <w:t>FACTS:</w:t>
      </w:r>
    </w:p>
    <w:p w14:paraId="34422938" w14:textId="1E1FF0CE" w:rsidR="00A65570" w:rsidRDefault="00904F86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Voucher accepting nonpublic schools </w:t>
      </w:r>
      <w:r w:rsidR="00E83CB5">
        <w:rPr>
          <w:rFonts w:eastAsia="Times New Roman"/>
        </w:rPr>
        <w:t>must give ILEARN</w:t>
      </w:r>
    </w:p>
    <w:p w14:paraId="5C70EC41" w14:textId="716F345A" w:rsidR="00E83CB5" w:rsidRDefault="00E83CB5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Voucher accepting nonpublic schools get A-F grades just like all other schools</w:t>
      </w:r>
    </w:p>
    <w:p w14:paraId="523847B9" w14:textId="079766B5" w:rsidR="00E83CB5" w:rsidRDefault="00C73F19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Unlike public schools, </w:t>
      </w:r>
      <w:r w:rsidR="00A95F48">
        <w:rPr>
          <w:rFonts w:eastAsia="Times New Roman"/>
        </w:rPr>
        <w:t xml:space="preserve">Voucher accepting nonpublic schools are subject to </w:t>
      </w:r>
      <w:r w:rsidR="00F617E9">
        <w:rPr>
          <w:rFonts w:eastAsia="Times New Roman"/>
        </w:rPr>
        <w:t>consequences if they are low academic performers</w:t>
      </w:r>
      <w:r>
        <w:rPr>
          <w:rFonts w:eastAsia="Times New Roman"/>
        </w:rPr>
        <w:t xml:space="preserve"> for 2 </w:t>
      </w:r>
      <w:proofErr w:type="gramStart"/>
      <w:r>
        <w:rPr>
          <w:rFonts w:eastAsia="Times New Roman"/>
        </w:rPr>
        <w:t>years</w:t>
      </w:r>
      <w:r w:rsidR="00DB1419">
        <w:rPr>
          <w:rFonts w:eastAsia="Times New Roman"/>
        </w:rPr>
        <w:t xml:space="preserve"> </w:t>
      </w:r>
      <w:r w:rsidR="00F617E9">
        <w:rPr>
          <w:rFonts w:eastAsia="Times New Roman"/>
        </w:rPr>
        <w:t xml:space="preserve"> (</w:t>
      </w:r>
      <w:proofErr w:type="gramEnd"/>
      <w:r w:rsidR="00F617E9">
        <w:rPr>
          <w:rFonts w:eastAsia="Times New Roman"/>
        </w:rPr>
        <w:t>D or F rated schools)</w:t>
      </w:r>
    </w:p>
    <w:p w14:paraId="564BEECA" w14:textId="7D2D5B7B" w:rsidR="00DB1419" w:rsidRDefault="00DB1419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Under the proposed ESA program, students would have to take I-Learn or a test that can be correlated to I-Learn (some schools which specialize in </w:t>
      </w:r>
      <w:r w:rsidR="00877571">
        <w:rPr>
          <w:rFonts w:eastAsia="Times New Roman"/>
        </w:rPr>
        <w:t xml:space="preserve">special needs students give an alternative test to I-Learn but the scores can be correlated so there can be </w:t>
      </w:r>
      <w:r w:rsidR="00F74025">
        <w:rPr>
          <w:rFonts w:eastAsia="Times New Roman"/>
        </w:rPr>
        <w:t>fair academic comparison).</w:t>
      </w:r>
    </w:p>
    <w:p w14:paraId="501B709F" w14:textId="47796D5D" w:rsidR="00F74025" w:rsidRDefault="00F74025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truest form of accountability is choice.  No one </w:t>
      </w:r>
      <w:r w:rsidR="003B114E">
        <w:rPr>
          <w:rFonts w:eastAsia="Times New Roman"/>
        </w:rPr>
        <w:t xml:space="preserve">is automatically assigned to any nonpublic schools.  Parents </w:t>
      </w:r>
      <w:proofErr w:type="gramStart"/>
      <w:r w:rsidR="003B114E">
        <w:rPr>
          <w:rFonts w:eastAsia="Times New Roman"/>
        </w:rPr>
        <w:t>have to</w:t>
      </w:r>
      <w:proofErr w:type="gramEnd"/>
      <w:r w:rsidR="003B114E">
        <w:rPr>
          <w:rFonts w:eastAsia="Times New Roman"/>
        </w:rPr>
        <w:t xml:space="preserve"> choose to send their child to these schools and they can also choose to leave that school if it is not working.  </w:t>
      </w:r>
    </w:p>
    <w:p w14:paraId="18656792" w14:textId="61C82176" w:rsidR="008E7268" w:rsidRDefault="008E7268">
      <w:pPr>
        <w:rPr>
          <w:rFonts w:eastAsia="Times New Roman"/>
          <w:b/>
          <w:bCs/>
          <w:color w:val="0070C0"/>
        </w:rPr>
      </w:pPr>
      <w:r>
        <w:rPr>
          <w:rFonts w:eastAsia="Times New Roman"/>
          <w:b/>
          <w:bCs/>
          <w:color w:val="0070C0"/>
        </w:rPr>
        <w:br w:type="page"/>
      </w:r>
    </w:p>
    <w:p w14:paraId="55B8A27A" w14:textId="77777777" w:rsidR="008363B4" w:rsidRPr="00EE520E" w:rsidRDefault="008363B4" w:rsidP="008363B4">
      <w:pPr>
        <w:rPr>
          <w:rFonts w:eastAsia="Times New Roman"/>
          <w:b/>
          <w:bCs/>
          <w:color w:val="0070C0"/>
        </w:rPr>
      </w:pPr>
    </w:p>
    <w:p w14:paraId="267B1F13" w14:textId="36ECAA0E" w:rsidR="008363B4" w:rsidRPr="00EB7B25" w:rsidRDefault="008363B4" w:rsidP="00EB7B25">
      <w:pPr>
        <w:ind w:left="360"/>
        <w:rPr>
          <w:rFonts w:eastAsia="Times New Roman"/>
          <w:b/>
          <w:bCs/>
          <w:color w:val="0070C0"/>
        </w:rPr>
      </w:pPr>
      <w:r w:rsidRPr="00EE520E">
        <w:rPr>
          <w:rFonts w:eastAsia="Times New Roman"/>
          <w:b/>
          <w:bCs/>
          <w:color w:val="0070C0"/>
        </w:rPr>
        <w:t xml:space="preserve">MYTH </w:t>
      </w:r>
      <w:r w:rsidR="00F725AD" w:rsidRPr="00EE520E">
        <w:rPr>
          <w:rFonts w:eastAsia="Times New Roman"/>
          <w:b/>
          <w:bCs/>
          <w:color w:val="0070C0"/>
        </w:rPr>
        <w:t>4</w:t>
      </w:r>
      <w:r w:rsidRPr="00EE520E">
        <w:rPr>
          <w:rFonts w:eastAsia="Times New Roman"/>
          <w:b/>
          <w:bCs/>
          <w:color w:val="0070C0"/>
        </w:rPr>
        <w:t>:</w:t>
      </w:r>
      <w:r w:rsidRPr="00EE520E">
        <w:rPr>
          <w:rFonts w:eastAsia="Times New Roman"/>
          <w:b/>
          <w:bCs/>
          <w:color w:val="0070C0"/>
        </w:rPr>
        <w:tab/>
      </w:r>
      <w:r w:rsidR="00A65570" w:rsidRPr="00EE520E">
        <w:rPr>
          <w:rFonts w:eastAsia="Times New Roman"/>
          <w:b/>
          <w:bCs/>
          <w:color w:val="0070C0"/>
        </w:rPr>
        <w:t xml:space="preserve">Choice programs allow for discrimination. </w:t>
      </w:r>
    </w:p>
    <w:p w14:paraId="7CD27C81" w14:textId="66326E07" w:rsidR="008363B4" w:rsidRPr="00EE520E" w:rsidRDefault="008363B4" w:rsidP="008363B4">
      <w:pPr>
        <w:ind w:left="360"/>
        <w:rPr>
          <w:rFonts w:eastAsia="Times New Roman"/>
          <w:b/>
          <w:bCs/>
        </w:rPr>
      </w:pPr>
      <w:r w:rsidRPr="00EE520E">
        <w:rPr>
          <w:rFonts w:eastAsia="Times New Roman"/>
          <w:b/>
          <w:bCs/>
        </w:rPr>
        <w:t>FACTS:</w:t>
      </w:r>
    </w:p>
    <w:p w14:paraId="0F1720AF" w14:textId="0DD90A14" w:rsidR="00A65570" w:rsidRDefault="00A65570" w:rsidP="00A655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9/10 empirical studies show that choice programs lead to less segregation. </w:t>
      </w:r>
    </w:p>
    <w:p w14:paraId="60427DB4" w14:textId="77777777" w:rsidR="00FE26BB" w:rsidRDefault="00FE26BB" w:rsidP="00FE26B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Voucher students are </w:t>
      </w:r>
      <w:proofErr w:type="gramStart"/>
      <w:r>
        <w:rPr>
          <w:rFonts w:eastAsia="Times New Roman"/>
        </w:rPr>
        <w:t>lower-income</w:t>
      </w:r>
      <w:proofErr w:type="gramEnd"/>
      <w:r>
        <w:rPr>
          <w:rFonts w:eastAsia="Times New Roman"/>
        </w:rPr>
        <w:t xml:space="preserve"> compared to traditional public school students</w:t>
      </w:r>
    </w:p>
    <w:p w14:paraId="71DD58C6" w14:textId="77777777" w:rsidR="00FE26BB" w:rsidRDefault="00FE26BB" w:rsidP="00FE26B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70% of voucher students are on Free and </w:t>
      </w:r>
      <w:proofErr w:type="gramStart"/>
      <w:r>
        <w:rPr>
          <w:rFonts w:eastAsia="Times New Roman"/>
        </w:rPr>
        <w:t>Reduced Price</w:t>
      </w:r>
      <w:proofErr w:type="gramEnd"/>
      <w:r>
        <w:rPr>
          <w:rFonts w:eastAsia="Times New Roman"/>
        </w:rPr>
        <w:t xml:space="preserve"> Lunch compared to 47% of traditional public school students</w:t>
      </w:r>
    </w:p>
    <w:p w14:paraId="53A3A3D5" w14:textId="77777777" w:rsidR="00FE26BB" w:rsidRDefault="00FE26BB" w:rsidP="00FE26B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Voucher students are more racial diverse compared to traditional </w:t>
      </w:r>
      <w:proofErr w:type="gramStart"/>
      <w:r>
        <w:rPr>
          <w:rFonts w:eastAsia="Times New Roman"/>
        </w:rPr>
        <w:t>public school</w:t>
      </w:r>
      <w:proofErr w:type="gramEnd"/>
      <w:r>
        <w:rPr>
          <w:rFonts w:eastAsia="Times New Roman"/>
        </w:rPr>
        <w:t xml:space="preserve"> students</w:t>
      </w:r>
    </w:p>
    <w:p w14:paraId="47D0FE9E" w14:textId="77777777" w:rsidR="00FE26BB" w:rsidRDefault="00FE26BB" w:rsidP="00FE26B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Voucher kids:  57% White – 43% Minority</w:t>
      </w:r>
    </w:p>
    <w:p w14:paraId="37C4BDE1" w14:textId="77777777" w:rsidR="00FE26BB" w:rsidRDefault="00FE26BB" w:rsidP="00FE26BB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22% Hispanic</w:t>
      </w:r>
    </w:p>
    <w:p w14:paraId="11B52959" w14:textId="77777777" w:rsidR="00FE26BB" w:rsidRDefault="00FE26BB" w:rsidP="00FE26BB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12% Black</w:t>
      </w:r>
    </w:p>
    <w:p w14:paraId="6DFFEF2E" w14:textId="77777777" w:rsidR="00FE26BB" w:rsidRDefault="00FE26BB" w:rsidP="00FE26BB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9</w:t>
      </w:r>
      <w:proofErr w:type="gramStart"/>
      <w:r>
        <w:rPr>
          <w:rFonts w:eastAsia="Times New Roman"/>
        </w:rPr>
        <w:t>%  Other</w:t>
      </w:r>
      <w:proofErr w:type="gramEnd"/>
    </w:p>
    <w:p w14:paraId="0E87AC3A" w14:textId="77777777" w:rsidR="00FE26BB" w:rsidRDefault="00FE26BB" w:rsidP="00FE26BB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Traditional </w:t>
      </w:r>
      <w:proofErr w:type="gramStart"/>
      <w:r>
        <w:rPr>
          <w:rFonts w:eastAsia="Times New Roman"/>
        </w:rPr>
        <w:t>public school</w:t>
      </w:r>
      <w:proofErr w:type="gramEnd"/>
      <w:r>
        <w:rPr>
          <w:rFonts w:eastAsia="Times New Roman"/>
        </w:rPr>
        <w:t xml:space="preserve"> kids:  68% White – 32% Minority</w:t>
      </w:r>
    </w:p>
    <w:p w14:paraId="05E6F1EF" w14:textId="77777777" w:rsidR="00FE26BB" w:rsidRDefault="00FE26BB" w:rsidP="00FE26BB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13% Hispanic</w:t>
      </w:r>
    </w:p>
    <w:p w14:paraId="07DC0E88" w14:textId="77777777" w:rsidR="00FE26BB" w:rsidRDefault="00FE26BB" w:rsidP="00FE26BB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11% Black</w:t>
      </w:r>
    </w:p>
    <w:p w14:paraId="18FFE748" w14:textId="70FCD3F4" w:rsidR="0018689E" w:rsidRDefault="00FE26BB" w:rsidP="00A61EA0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8% Other</w:t>
      </w:r>
    </w:p>
    <w:p w14:paraId="2E5C36F2" w14:textId="2E76AE4F" w:rsidR="00A61EA0" w:rsidRDefault="00A61EA0" w:rsidP="00A61EA0">
      <w:pPr>
        <w:rPr>
          <w:rFonts w:eastAsia="Times New Roman"/>
        </w:rPr>
      </w:pPr>
    </w:p>
    <w:p w14:paraId="1A09D2E9" w14:textId="05ECEFB1" w:rsidR="008E7268" w:rsidRDefault="008E7268" w:rsidP="00A61EA0">
      <w:pPr>
        <w:rPr>
          <w:rFonts w:eastAsia="Times New Roman"/>
        </w:rPr>
      </w:pPr>
    </w:p>
    <w:p w14:paraId="6DB411DF" w14:textId="77777777" w:rsidR="008E7268" w:rsidRDefault="008E7268" w:rsidP="00A61EA0">
      <w:pPr>
        <w:rPr>
          <w:rFonts w:eastAsia="Times New Roman"/>
        </w:rPr>
      </w:pPr>
    </w:p>
    <w:p w14:paraId="02AA3269" w14:textId="77777777" w:rsidR="00A61EA0" w:rsidRPr="00A61EA0" w:rsidRDefault="00A61EA0" w:rsidP="00A61EA0">
      <w:pPr>
        <w:rPr>
          <w:rFonts w:eastAsia="Times New Roman"/>
        </w:rPr>
      </w:pPr>
    </w:p>
    <w:p w14:paraId="5A2838B1" w14:textId="0FBC2327" w:rsidR="0018689E" w:rsidRPr="00EB7B25" w:rsidRDefault="0018689E" w:rsidP="0018689E">
      <w:pPr>
        <w:rPr>
          <w:rFonts w:eastAsia="Times New Roman"/>
          <w:b/>
          <w:bCs/>
          <w:color w:val="0070C0"/>
        </w:rPr>
      </w:pPr>
      <w:r w:rsidRPr="00EE520E">
        <w:rPr>
          <w:rFonts w:eastAsia="Times New Roman"/>
          <w:b/>
          <w:bCs/>
          <w:color w:val="0070C0"/>
        </w:rPr>
        <w:t xml:space="preserve">MYTH </w:t>
      </w:r>
      <w:r w:rsidR="00F725AD" w:rsidRPr="00EE520E">
        <w:rPr>
          <w:rFonts w:eastAsia="Times New Roman"/>
          <w:b/>
          <w:bCs/>
          <w:color w:val="0070C0"/>
        </w:rPr>
        <w:t>5</w:t>
      </w:r>
      <w:r w:rsidRPr="00EE520E">
        <w:rPr>
          <w:rFonts w:eastAsia="Times New Roman"/>
          <w:b/>
          <w:bCs/>
          <w:color w:val="0070C0"/>
        </w:rPr>
        <w:t>:      Education Scholarship Accounts (ESAs) lead to fraud.</w:t>
      </w:r>
    </w:p>
    <w:p w14:paraId="5413B464" w14:textId="7A51A08F" w:rsidR="0018689E" w:rsidRPr="00EE520E" w:rsidRDefault="0018689E" w:rsidP="0018689E">
      <w:pPr>
        <w:rPr>
          <w:rFonts w:eastAsia="Times New Roman"/>
          <w:b/>
          <w:bCs/>
        </w:rPr>
      </w:pPr>
      <w:r w:rsidRPr="00EE520E">
        <w:rPr>
          <w:rFonts w:eastAsia="Times New Roman"/>
          <w:b/>
          <w:bCs/>
        </w:rPr>
        <w:t>FACTS:</w:t>
      </w:r>
    </w:p>
    <w:p w14:paraId="12FC5538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ESA’s are not a free-range debit card for parents. Families purchase services and products through a secure, regulated web portal where the DOE and Treasurer would only allow verified and approved providers and products to be purchased. </w:t>
      </w:r>
    </w:p>
    <w:p w14:paraId="755E069A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ESA programs have been around for 10 years and continue to further mitigate attempts of fraud. </w:t>
      </w:r>
    </w:p>
    <w:p w14:paraId="33304A2B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The Treasurer of State is required by law to provide written explanation of authorized uses and freeze any accounts where misuse is detected, report any crimes to prosecutor/AG </w:t>
      </w:r>
    </w:p>
    <w:p w14:paraId="5E9A0FC9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Bad actors (both families and providers) will be prohibited from participating in the program. </w:t>
      </w:r>
    </w:p>
    <w:p w14:paraId="575C8CC0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Surety bond is required of every provider/vendor who is expected to receive payment of more than $50,000 for their services.</w:t>
      </w:r>
    </w:p>
    <w:p w14:paraId="14908FD3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An annual audit by independent public accounting firm is required and the audit must be sent to governor and general assembly </w:t>
      </w:r>
    </w:p>
    <w:p w14:paraId="08EA3E9D" w14:textId="77777777" w:rsidR="0018689E" w:rsidRDefault="0018689E" w:rsidP="0018689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There are examples of fraud in our public schools. Examples include </w:t>
      </w:r>
      <w:hyperlink r:id="rId6" w:history="1">
        <w:r>
          <w:rPr>
            <w:rStyle w:val="Hyperlink"/>
            <w:rFonts w:eastAsia="Times New Roman"/>
          </w:rPr>
          <w:t>South Newton School Corp</w:t>
        </w:r>
      </w:hyperlink>
      <w:r>
        <w:rPr>
          <w:rFonts w:eastAsia="Times New Roman"/>
        </w:rPr>
        <w:t xml:space="preserve">.,  </w:t>
      </w:r>
      <w:hyperlink r:id="rId7" w:history="1">
        <w:r>
          <w:rPr>
            <w:rStyle w:val="Hyperlink"/>
            <w:rFonts w:eastAsia="Times New Roman"/>
          </w:rPr>
          <w:t>Gary</w:t>
        </w:r>
      </w:hyperlink>
      <w:r>
        <w:rPr>
          <w:rFonts w:eastAsia="Times New Roman"/>
        </w:rPr>
        <w:t xml:space="preserve"> and </w:t>
      </w:r>
      <w:hyperlink r:id="rId8" w:history="1">
        <w:r>
          <w:rPr>
            <w:rStyle w:val="Hyperlink"/>
            <w:rFonts w:eastAsia="Times New Roman"/>
          </w:rPr>
          <w:t>Vigo County</w:t>
        </w:r>
      </w:hyperlink>
      <w:r>
        <w:rPr>
          <w:rFonts w:eastAsia="Times New Roman"/>
        </w:rPr>
        <w:t xml:space="preserve">. Cannot stop all bad actors. </w:t>
      </w:r>
    </w:p>
    <w:p w14:paraId="42F70176" w14:textId="77777777" w:rsidR="0018689E" w:rsidRDefault="0018689E" w:rsidP="0018689E">
      <w:pPr>
        <w:pStyle w:val="ListParagraph"/>
        <w:tabs>
          <w:tab w:val="left" w:pos="7223"/>
        </w:tabs>
        <w:ind w:left="1440"/>
        <w:rPr>
          <w:rFonts w:eastAsia="Times New Roman"/>
        </w:rPr>
      </w:pPr>
    </w:p>
    <w:p w14:paraId="099C4F3F" w14:textId="77777777" w:rsidR="00A65570" w:rsidRDefault="00A65570" w:rsidP="00A65570"/>
    <w:p w14:paraId="761B7EA2" w14:textId="77777777" w:rsidR="00E82E53" w:rsidRDefault="00E82E53"/>
    <w:sectPr w:rsidR="00E82E53" w:rsidSect="00E76E7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0BF"/>
    <w:multiLevelType w:val="hybridMultilevel"/>
    <w:tmpl w:val="E9C0FB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0E1F9A"/>
    <w:multiLevelType w:val="hybridMultilevel"/>
    <w:tmpl w:val="2EE8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5593"/>
    <w:multiLevelType w:val="hybridMultilevel"/>
    <w:tmpl w:val="430C78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83337"/>
    <w:multiLevelType w:val="hybridMultilevel"/>
    <w:tmpl w:val="18885D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35F7C"/>
    <w:multiLevelType w:val="hybridMultilevel"/>
    <w:tmpl w:val="CDE2F8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615FAA"/>
    <w:multiLevelType w:val="hybridMultilevel"/>
    <w:tmpl w:val="85F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27F04"/>
    <w:multiLevelType w:val="hybridMultilevel"/>
    <w:tmpl w:val="1D20CDF8"/>
    <w:lvl w:ilvl="0" w:tplc="4828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7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A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0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E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C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0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FA670D"/>
    <w:multiLevelType w:val="hybridMultilevel"/>
    <w:tmpl w:val="3B7EC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09186F"/>
    <w:multiLevelType w:val="hybridMultilevel"/>
    <w:tmpl w:val="8E1C449C"/>
    <w:lvl w:ilvl="0" w:tplc="7A160BD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0"/>
    <w:rsid w:val="0000104A"/>
    <w:rsid w:val="000432DC"/>
    <w:rsid w:val="0005355D"/>
    <w:rsid w:val="000764A0"/>
    <w:rsid w:val="0018689E"/>
    <w:rsid w:val="001A0406"/>
    <w:rsid w:val="002213D9"/>
    <w:rsid w:val="00290B49"/>
    <w:rsid w:val="002C66BD"/>
    <w:rsid w:val="003B114E"/>
    <w:rsid w:val="004F5BD2"/>
    <w:rsid w:val="00590498"/>
    <w:rsid w:val="005B1E3E"/>
    <w:rsid w:val="005F3A52"/>
    <w:rsid w:val="006203CF"/>
    <w:rsid w:val="006B3103"/>
    <w:rsid w:val="006C5CEF"/>
    <w:rsid w:val="00724E29"/>
    <w:rsid w:val="007C20EF"/>
    <w:rsid w:val="007D61B5"/>
    <w:rsid w:val="00805EB8"/>
    <w:rsid w:val="008363B4"/>
    <w:rsid w:val="00877571"/>
    <w:rsid w:val="008D7421"/>
    <w:rsid w:val="008E480C"/>
    <w:rsid w:val="008E7268"/>
    <w:rsid w:val="00904F86"/>
    <w:rsid w:val="00947FF8"/>
    <w:rsid w:val="009534AE"/>
    <w:rsid w:val="00A247AD"/>
    <w:rsid w:val="00A4000D"/>
    <w:rsid w:val="00A51BDA"/>
    <w:rsid w:val="00A52B47"/>
    <w:rsid w:val="00A61EA0"/>
    <w:rsid w:val="00A65570"/>
    <w:rsid w:val="00A95F48"/>
    <w:rsid w:val="00B85B6B"/>
    <w:rsid w:val="00BE4727"/>
    <w:rsid w:val="00C15068"/>
    <w:rsid w:val="00C73F19"/>
    <w:rsid w:val="00CA2484"/>
    <w:rsid w:val="00CE33C0"/>
    <w:rsid w:val="00D3470C"/>
    <w:rsid w:val="00D8195A"/>
    <w:rsid w:val="00DB1419"/>
    <w:rsid w:val="00DD5E9E"/>
    <w:rsid w:val="00E40690"/>
    <w:rsid w:val="00E76E71"/>
    <w:rsid w:val="00E82E53"/>
    <w:rsid w:val="00E83CB5"/>
    <w:rsid w:val="00EB7B25"/>
    <w:rsid w:val="00EE520E"/>
    <w:rsid w:val="00F617E9"/>
    <w:rsid w:val="00F725AD"/>
    <w:rsid w:val="00F74025"/>
    <w:rsid w:val="00F7630C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9451"/>
  <w15:chartTrackingRefBased/>
  <w15:docId w15:val="{44B78452-7723-4C6C-8D74-4A5F5979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7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5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5570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1A0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819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6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82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7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star.com/news/local_news/one-year-ago-fbi-raid-rocked-vigo-county/article_09b6b428-22cf-5543-93d1-c64d8e45e51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cagotribune.com/suburbs/post-tribune/ct-ptb-gary-pruitt-charges-st-20181005-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fyi.org/news/articles/nw-indiana-school-district-must-rrepay-750k-for-illinois-students" TargetMode="External"/><Relationship Id="rId5" Type="http://schemas.openxmlformats.org/officeDocument/2006/relationships/hyperlink" Target="https://excelined.org/wp-content/uploads/2018/06/ExcelinEd.PolicyToolkit.PrivateChoice.Research.2018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Wiley</dc:creator>
  <cp:keywords/>
  <dc:description/>
  <cp:lastModifiedBy>Gant.Heidi</cp:lastModifiedBy>
  <cp:revision>2</cp:revision>
  <dcterms:created xsi:type="dcterms:W3CDTF">2021-03-02T16:29:00Z</dcterms:created>
  <dcterms:modified xsi:type="dcterms:W3CDTF">2021-03-02T16:29:00Z</dcterms:modified>
</cp:coreProperties>
</file>